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6F69" w14:textId="27B506DA" w:rsidR="00403067" w:rsidRPr="00C63FBD" w:rsidRDefault="00403067" w:rsidP="006919E1">
      <w:pPr>
        <w:spacing w:after="0" w:line="288" w:lineRule="auto"/>
        <w:rPr>
          <w:rFonts w:asciiTheme="majorHAnsi" w:hAnsiTheme="majorHAnsi" w:cstheme="majorHAnsi"/>
          <w:b/>
          <w:bCs/>
          <w:color w:val="186433"/>
          <w:sz w:val="36"/>
          <w:szCs w:val="36"/>
          <w:lang w:val="sk-SK"/>
        </w:rPr>
      </w:pPr>
      <w:bookmarkStart w:id="0" w:name="_sj2tsfx6uxof" w:colFirst="0" w:colLast="0"/>
      <w:bookmarkEnd w:id="0"/>
      <w:r w:rsidRPr="00C63FBD">
        <w:rPr>
          <w:rFonts w:asciiTheme="majorHAnsi" w:hAnsiTheme="majorHAnsi" w:cstheme="majorHAnsi"/>
          <w:b/>
          <w:bCs/>
          <w:color w:val="186433"/>
          <w:sz w:val="36"/>
          <w:szCs w:val="36"/>
          <w:lang w:val="sk-SK"/>
        </w:rPr>
        <w:t>Príloha: Príklady zo zahraničia</w:t>
      </w:r>
    </w:p>
    <w:p w14:paraId="520FD4DC" w14:textId="4465E80B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color w:val="186433"/>
          <w:sz w:val="36"/>
          <w:szCs w:val="36"/>
          <w:lang w:val="sk-SK"/>
        </w:rPr>
      </w:pPr>
      <w:r w:rsidRPr="00C63FBD">
        <w:rPr>
          <w:rFonts w:asciiTheme="majorHAnsi" w:hAnsiTheme="majorHAnsi" w:cstheme="majorHAnsi"/>
          <w:b/>
          <w:bCs/>
          <w:color w:val="186433"/>
          <w:sz w:val="36"/>
          <w:szCs w:val="36"/>
          <w:lang w:val="sk-SK"/>
        </w:rPr>
        <w:t>ŠESŤ OPATRENÍ NA ZÁCHRANU SEKTORA GASTRO SLUŽIEB</w:t>
      </w:r>
    </w:p>
    <w:p w14:paraId="70060BB2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  <w:bookmarkStart w:id="1" w:name="_wng9al434x07" w:colFirst="0" w:colLast="0"/>
      <w:bookmarkStart w:id="2" w:name="_fp5icnla4v1d" w:colFirst="0" w:colLast="0"/>
      <w:bookmarkEnd w:id="1"/>
      <w:bookmarkEnd w:id="2"/>
    </w:p>
    <w:p w14:paraId="7834810D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</w:p>
    <w:p w14:paraId="587AF72F" w14:textId="08B592CF" w:rsidR="00413542" w:rsidRPr="00C63FBD" w:rsidRDefault="00E172C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</w:pPr>
      <w:bookmarkStart w:id="3" w:name="_Hlk58343923"/>
      <w:r w:rsidRPr="00C63FBD"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  <w:t>100% náhrada mzdy bez zbytočnej byrokracie</w:t>
      </w:r>
    </w:p>
    <w:p w14:paraId="38CDB543" w14:textId="77777777" w:rsidR="00E172C8" w:rsidRPr="00C63FBD" w:rsidRDefault="00E172C8" w:rsidP="006919E1">
      <w:pPr>
        <w:spacing w:after="0" w:line="288" w:lineRule="auto"/>
        <w:rPr>
          <w:rFonts w:asciiTheme="majorHAnsi" w:hAnsiTheme="majorHAnsi" w:cstheme="majorHAnsi"/>
          <w:iCs/>
          <w:color w:val="404040" w:themeColor="text1" w:themeTint="BF"/>
          <w:lang w:val="sk-SK"/>
        </w:rPr>
      </w:pPr>
    </w:p>
    <w:p w14:paraId="225F07ED" w14:textId="6D954F74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Gastro sektor žiada zvýšenie pomoci </w:t>
      </w:r>
      <w:r w:rsidR="00BF65F1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z 80 % 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na 100</w:t>
      </w:r>
      <w:r w:rsidR="00BF65F1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% </w:t>
      </w:r>
      <w:r w:rsidR="00BF65F1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náhrady mzdy 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a nastaviť systém vyplácania </w:t>
      </w:r>
      <w:r w:rsidR="00E172C8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Prvej pomoci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+ tak, aby prišli peniaze na účet žiadateľov </w:t>
      </w:r>
      <w:r w:rsidR="00E172C8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ešte 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do konca roka 2020. Zároveň</w:t>
      </w:r>
      <w:r w:rsidR="00791995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žiada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, aby nedoplatky za sociálne, zdravotné a nemocenské odvody za zamestnancov neboli diskvalifikačnou podmienkou pre žiadateľov o podporu Prvej pomoci pre udržanie zamestnanosti.</w:t>
      </w:r>
    </w:p>
    <w:p w14:paraId="02DA4498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bookmarkEnd w:id="3"/>
    <w:p w14:paraId="3B0BDC03" w14:textId="35FB1FB2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>Česká republika</w:t>
      </w:r>
      <w:r w:rsidR="00E172C8"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 xml:space="preserve">: </w:t>
      </w:r>
      <w:r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 xml:space="preserve"> </w:t>
      </w:r>
      <w:r w:rsidR="00E172C8"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>Podporné programy pre gastro sektor</w:t>
      </w:r>
      <w:r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 xml:space="preserve"> </w:t>
      </w:r>
    </w:p>
    <w:p w14:paraId="51043482" w14:textId="35863399" w:rsidR="00413542" w:rsidRPr="00C63FBD" w:rsidRDefault="00995903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replatenie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100 % nákladov na pracovnú silu do výšky 1887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EUR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295F3BC4" w14:textId="77777777" w:rsidR="00413542" w:rsidRPr="00C63FBD" w:rsidRDefault="00413542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50 % nájomného na účet reštaurácie, bez ohľadu na výšku zľavy od prenajímateľa a jeho zainteresovanosť vo veci.</w:t>
      </w:r>
    </w:p>
    <w:p w14:paraId="45848E31" w14:textId="77777777" w:rsidR="00413542" w:rsidRPr="00C63FBD" w:rsidRDefault="00413542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500 Kč / deň ako príspevok pre malých podnikateľov za zatvorenú prevádzku.</w:t>
      </w:r>
    </w:p>
    <w:p w14:paraId="094FCC4A" w14:textId="2022251A" w:rsidR="00413542" w:rsidRPr="00C63FBD" w:rsidRDefault="00413542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ČR odložil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a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zavedenie a povinnosť e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K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ás do 1. januára 2022.</w:t>
      </w:r>
    </w:p>
    <w:p w14:paraId="555CE83B" w14:textId="77777777" w:rsidR="00413542" w:rsidRPr="00C63FBD" w:rsidRDefault="00413542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ČR má 10 % DPH na gastro služby.</w:t>
      </w:r>
    </w:p>
    <w:p w14:paraId="684605DC" w14:textId="77777777" w:rsidR="00413542" w:rsidRPr="00C63FBD" w:rsidRDefault="008E2FDA" w:rsidP="006919E1">
      <w:pPr>
        <w:numPr>
          <w:ilvl w:val="0"/>
          <w:numId w:val="4"/>
        </w:numPr>
        <w:spacing w:after="0" w:line="288" w:lineRule="auto"/>
        <w:rPr>
          <w:rFonts w:asciiTheme="majorHAnsi" w:hAnsiTheme="majorHAnsi" w:cstheme="majorHAnsi"/>
          <w:lang w:val="sk-SK"/>
        </w:rPr>
      </w:pPr>
      <w:hyperlink r:id="rId10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Zdroj: Covid Portál</w:t>
        </w:r>
      </w:hyperlink>
      <w:r w:rsidR="00413542" w:rsidRPr="00C63FBD">
        <w:rPr>
          <w:rFonts w:asciiTheme="majorHAnsi" w:hAnsiTheme="majorHAnsi" w:cstheme="majorHAnsi"/>
          <w:lang w:val="sk-SK"/>
        </w:rPr>
        <w:t xml:space="preserve"> </w:t>
      </w:r>
    </w:p>
    <w:p w14:paraId="2D713682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lang w:val="sk-SK"/>
        </w:rPr>
      </w:pPr>
    </w:p>
    <w:p w14:paraId="615BAE60" w14:textId="74CD130A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 xml:space="preserve">Rakúsko: Balík pomoci Corona od </w:t>
      </w:r>
      <w:r w:rsidR="00341A5D"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>r</w:t>
      </w:r>
      <w:r w:rsidRPr="00C63FBD">
        <w:rPr>
          <w:rFonts w:asciiTheme="majorHAnsi" w:hAnsiTheme="majorHAnsi" w:cstheme="majorHAnsi"/>
          <w:b/>
          <w:color w:val="404040" w:themeColor="text1" w:themeTint="BF"/>
          <w:lang w:val="sk-SK"/>
        </w:rPr>
        <w:t>akúskej spolkovej vlády</w:t>
      </w:r>
    </w:p>
    <w:p w14:paraId="153D7078" w14:textId="02DE0EBD" w:rsidR="00413542" w:rsidRPr="00C63FBD" w:rsidRDefault="00995903" w:rsidP="006919E1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N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áklady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na kompenzácie za výpadok tržieb pre firmy, ktoré museli zavrieť počas lockdownu, dosiahnu celkovo až 2 miliardy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EUR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1E0D50D7" w14:textId="31BA65D5" w:rsidR="00413542" w:rsidRPr="00C63FBD" w:rsidRDefault="00995903" w:rsidP="008241AA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re postihnuté sektory platí v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ylepšen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á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Corona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podpora cez kurtzarbeit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a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 dotácia pre obnovu ekonomiky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17941C55" w14:textId="0498EEC6" w:rsidR="004317D6" w:rsidRPr="00C63FBD" w:rsidRDefault="00791995" w:rsidP="008241AA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H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ardship Fund, kde je možné požiadať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o podporu z fondu pre ťažkosti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v dvoch fázach</w:t>
      </w:r>
    </w:p>
    <w:p w14:paraId="280FA772" w14:textId="782D2C1C" w:rsidR="004317D6" w:rsidRPr="00C63FBD" w:rsidRDefault="00341A5D" w:rsidP="006919E1">
      <w:pPr>
        <w:numPr>
          <w:ilvl w:val="1"/>
          <w:numId w:val="12"/>
        </w:numPr>
        <w:tabs>
          <w:tab w:val="num" w:pos="1440"/>
        </w:tabs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1.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 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>f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áza: Núdzová pomoc</w:t>
      </w:r>
    </w:p>
    <w:p w14:paraId="7B978D96" w14:textId="7A0CCF7C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Dá sa žiadať už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od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27.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m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arca 2020 a po zažiadaní je zaslaná okamžitá platba</w:t>
      </w:r>
    </w:p>
    <w:p w14:paraId="001FB725" w14:textId="77777777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500 EUR (ročný čistý príjem medzi 5 528 EUR a 6 000 EUR)</w:t>
      </w:r>
    </w:p>
    <w:p w14:paraId="5BC1BF76" w14:textId="77777777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1 000 EUR (ročný čistý príjem od 6 000 EUR)</w:t>
      </w:r>
    </w:p>
    <w:p w14:paraId="32DAF47A" w14:textId="368F3B64" w:rsidR="004317D6" w:rsidRPr="00C63FBD" w:rsidRDefault="00341A5D" w:rsidP="006919E1">
      <w:pPr>
        <w:numPr>
          <w:ilvl w:val="1"/>
          <w:numId w:val="12"/>
        </w:numPr>
        <w:tabs>
          <w:tab w:val="num" w:pos="1440"/>
        </w:tabs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2. 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>f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áza: Od 20. apríla 2020 (do polovice decembra 2020)</w:t>
      </w:r>
    </w:p>
    <w:p w14:paraId="14E1AFAF" w14:textId="62BCA4EC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Platby vo výške 80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% ušlého príjmu až do maximálnej výšky 2 000 EUR mesačne počas šiestich mesiacov.</w:t>
      </w:r>
    </w:p>
    <w:p w14:paraId="311D8B5E" w14:textId="77777777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„Comeback bonus“ vo výške maximálne 500 EUR mesačne počas šiestich mesiacov.</w:t>
      </w:r>
    </w:p>
    <w:p w14:paraId="557850DE" w14:textId="5880B2AB" w:rsidR="004317D6" w:rsidRPr="00C63FBD" w:rsidRDefault="004317D6" w:rsidP="006919E1">
      <w:pPr>
        <w:numPr>
          <w:ilvl w:val="2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Celkovo je poskytnutá nezdaniteľná dotácia do výšky 15 000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EUR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443039E7" w14:textId="77777777" w:rsidR="00413542" w:rsidRPr="00C63FBD" w:rsidRDefault="00413542" w:rsidP="008241AA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Fond pomoci Corona (záruky a dotácie na fixné náklady)</w:t>
      </w:r>
    </w:p>
    <w:p w14:paraId="092A1F46" w14:textId="05183283" w:rsidR="00413542" w:rsidRPr="00C63FBD" w:rsidRDefault="00BF65F1" w:rsidP="006919E1">
      <w:pPr>
        <w:numPr>
          <w:ilvl w:val="1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lastRenderedPageBreak/>
        <w:t>d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aňová úľava (DPH HoReCa 5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%)</w:t>
      </w:r>
    </w:p>
    <w:p w14:paraId="2FFE776E" w14:textId="724F5457" w:rsidR="00413542" w:rsidRPr="00C63FBD" w:rsidRDefault="00995903" w:rsidP="006919E1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M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nohé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z týchto opatrení sú obzvlášť dôležité pre ubytovacie, gastronomické a rekreačné odvetvie, ako aj pre cestovný ruch. Viac informácií nájdete v balíku opatrení pre </w:t>
      </w:r>
      <w:hyperlink r:id="rId11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cestovný ruch</w:t>
        </w:r>
      </w:hyperlink>
      <w:r w:rsidR="00413542" w:rsidRPr="00C63FBD">
        <w:rPr>
          <w:rFonts w:asciiTheme="majorHAnsi" w:hAnsiTheme="majorHAnsi" w:cstheme="majorHAnsi"/>
          <w:lang w:val="sk-SK"/>
        </w:rPr>
        <w:t>.</w:t>
      </w:r>
    </w:p>
    <w:p w14:paraId="503876E0" w14:textId="7E42D2ED" w:rsidR="00413542" w:rsidRPr="00C63FBD" w:rsidRDefault="00995903" w:rsidP="006919E1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F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ederálna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vláda zostavila </w:t>
      </w:r>
      <w:hyperlink r:id="rId12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stravovací balíček</w:t>
        </w:r>
      </w:hyperlink>
      <w:r w:rsidR="00413542" w:rsidRPr="00C63FBD">
        <w:rPr>
          <w:rFonts w:asciiTheme="majorHAnsi" w:hAnsiTheme="majorHAnsi" w:cstheme="majorHAnsi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v hodnote 500 miliónov EUR, aby mali podniky poskytujúce stravovacie služby čo najlepšiu možnú podporu pri opätovnom 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uvedení do prevádzky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. Obsahuje daňové a byrokratické úľavy na podporu gastronómie a stimuláciu spotreby.</w:t>
      </w:r>
    </w:p>
    <w:p w14:paraId="213546E5" w14:textId="5B1CDADA" w:rsidR="00413542" w:rsidRPr="00C63FBD" w:rsidRDefault="00995903" w:rsidP="006919E1">
      <w:pPr>
        <w:numPr>
          <w:ilvl w:val="0"/>
          <w:numId w:val="12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rehľad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všetkých opatrení v Rakúsku: </w:t>
      </w:r>
      <w:hyperlink r:id="rId13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zdroj 1</w:t>
        </w:r>
      </w:hyperlink>
      <w:r w:rsidR="00413542" w:rsidRPr="00C63FBD">
        <w:rPr>
          <w:rFonts w:asciiTheme="majorHAnsi" w:hAnsiTheme="majorHAnsi" w:cstheme="majorHAnsi"/>
          <w:lang w:val="sk-SK"/>
        </w:rPr>
        <w:t xml:space="preserve">, </w:t>
      </w:r>
      <w:hyperlink r:id="rId14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zdroj 2</w:t>
        </w:r>
      </w:hyperlink>
    </w:p>
    <w:p w14:paraId="13ED78AA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183AD173" w14:textId="14CCB83E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>Poľsko: Protikoronový štít</w:t>
      </w:r>
    </w:p>
    <w:p w14:paraId="2381EB64" w14:textId="1FBE0E12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Poľský premiér ohlásil nové opatrenia na potlačenie ekonomických 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dôsledkov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E172C8" w:rsidRPr="00C63FBD">
        <w:rPr>
          <w:rFonts w:asciiTheme="majorHAnsi" w:hAnsiTheme="majorHAnsi" w:cstheme="majorHAnsi"/>
          <w:color w:val="404040" w:themeColor="text1" w:themeTint="BF"/>
          <w:lang w:val="sk-SK"/>
        </w:rPr>
        <w:t>opatrení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súvisiacich s COVID-19. Nový protikrízový štít je venovaný 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najviac</w:t>
      </w:r>
      <w:r w:rsidR="00E172C8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ohrozeným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odvetviam.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P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rotikrízový štít je určený pre tieto sektory: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g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astronómia,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z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ábava (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divadlá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, veľtrh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y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, kongres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y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,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kiná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),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športové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aktivity (telocvične,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športoviská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, bazény),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maloobchodný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predaj (pouličné trhy).</w:t>
      </w:r>
    </w:p>
    <w:p w14:paraId="4A302129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</w:p>
    <w:p w14:paraId="337506D3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Protikrízový štít znamená:</w:t>
      </w:r>
    </w:p>
    <w:p w14:paraId="2B9399D4" w14:textId="1F8E61A1" w:rsidR="00413542" w:rsidRPr="00C63FBD" w:rsidRDefault="00791995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Oslobodenie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od platenia sociálnej dane (za november 2020), ak je obrat o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 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40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% nižší ako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v 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rovnakom období minulého roku.</w:t>
      </w:r>
    </w:p>
    <w:p w14:paraId="5881374D" w14:textId="302381DE" w:rsidR="00413542" w:rsidRPr="00C63FBD" w:rsidRDefault="00791995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Kompenzačné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dávky za október a november 2020, ak príjmy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oproti rovnakému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období minulého roka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klesli aspoň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o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 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40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%.</w:t>
      </w:r>
    </w:p>
    <w:p w14:paraId="70336447" w14:textId="5D39EA54" w:rsidR="00413542" w:rsidRPr="00C63FBD" w:rsidRDefault="00086FB2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Štátna dotácia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5 000 PLN na spoločnosť, ak 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boli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príjmy v októbri a novembri o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> 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40</w:t>
      </w:r>
      <w:r w:rsidR="00791995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% nižšie oproti rovnakému obdobiu minulého roku.</w:t>
      </w:r>
    </w:p>
    <w:p w14:paraId="7E9AF9CA" w14:textId="6EBCFC2E" w:rsidR="00413542" w:rsidRPr="00C63FBD" w:rsidRDefault="00791995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Platby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dane z príjmu fyzických osôb zamestnancom (zvyčajne sa odpočítavajú z platov)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za mesiace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október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, november a december (Q4) sa posunú o 6 mesiacov. Vláda odhaduje, že to ušetrí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firmám 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zhruba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300 miliónov PLN.</w:t>
      </w:r>
    </w:p>
    <w:p w14:paraId="1A6DC048" w14:textId="433E710B" w:rsidR="00413542" w:rsidRPr="00C63FBD" w:rsidRDefault="00791995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Balíky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>z predchádzajúcich protikrízových štítov sú stále k dispozícii. Ak spoločnosti nesplnili kritériá pre predchádzajúcu štátnu podporu, ale splnia ich teraz, budú môcť požiadať o podporu do 30. júna 2021. Týka sa to mikropôžičiek, dotácií na platy a kompenzačných výhod za stratu obratu.</w:t>
      </w:r>
    </w:p>
    <w:p w14:paraId="7F765468" w14:textId="02FD8B79" w:rsidR="00413542" w:rsidRPr="00C63FBD" w:rsidRDefault="00791995" w:rsidP="006919E1">
      <w:pPr>
        <w:numPr>
          <w:ilvl w:val="0"/>
          <w:numId w:val="13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Pouličné 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veľtrhy (organizované v menších obciach) organizované v roku 2021 nebudú vyžadovať poplatok za zriadenie predajných miest. Ak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by</w:t>
      </w:r>
      <w:r w:rsidR="0041354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obce z týchto poplatkov získali viac ako 10 000 PLN ročne, štát ich nahradí.</w:t>
      </w:r>
    </w:p>
    <w:p w14:paraId="639A70A4" w14:textId="77777777" w:rsidR="00BF65F1" w:rsidRPr="00C63FBD" w:rsidRDefault="00BF65F1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4EA749FB" w14:textId="53DC5FBF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Podľa odhadu poľskej vlády nový protikrízový štít poskytne pomoc 170 000 spoločnostiam (</w:t>
      </w:r>
      <w:r w:rsidR="008A2A7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zamestnávajúcim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až 400 000 osôb) a odhaduje sa na 1,8 miliardy PLN. Vláda pracuje na vytvorení nových podporných programov v mesiacoch nasledujúcich po novembri. Žiadosť o revidovaný zákon o rozpočte na rok 2021 už predložilo poľskému parlamentu ministerstvo financií.</w:t>
      </w:r>
    </w:p>
    <w:p w14:paraId="02CDFD3A" w14:textId="77777777" w:rsidR="00413542" w:rsidRPr="00C63FBD" w:rsidRDefault="00413542" w:rsidP="006919E1">
      <w:pPr>
        <w:pStyle w:val="Nadpis2"/>
        <w:spacing w:before="0" w:after="0" w:line="288" w:lineRule="auto"/>
        <w:rPr>
          <w:rFonts w:asciiTheme="majorHAnsi" w:hAnsiTheme="majorHAnsi" w:cstheme="majorHAnsi"/>
          <w:color w:val="404040" w:themeColor="text1" w:themeTint="BF"/>
          <w:sz w:val="22"/>
          <w:szCs w:val="22"/>
          <w:lang w:val="sk-SK"/>
        </w:rPr>
      </w:pPr>
      <w:bookmarkStart w:id="4" w:name="_qpq9dg461ci3" w:colFirst="0" w:colLast="0"/>
      <w:bookmarkEnd w:id="4"/>
      <w:r w:rsidRPr="00C63FBD">
        <w:rPr>
          <w:rFonts w:asciiTheme="majorHAnsi" w:hAnsiTheme="majorHAnsi" w:cstheme="majorHAnsi"/>
          <w:color w:val="404040" w:themeColor="text1" w:themeTint="BF"/>
          <w:sz w:val="22"/>
          <w:szCs w:val="22"/>
          <w:lang w:val="sk-SK"/>
        </w:rPr>
        <w:br w:type="page"/>
      </w:r>
    </w:p>
    <w:p w14:paraId="7F364561" w14:textId="348EE1ED" w:rsidR="00413542" w:rsidRPr="00C63FBD" w:rsidRDefault="00E172C8" w:rsidP="006919E1">
      <w:pPr>
        <w:spacing w:after="0" w:line="288" w:lineRule="auto"/>
        <w:rPr>
          <w:rFonts w:asciiTheme="majorHAnsi" w:hAnsiTheme="majorHAnsi" w:cstheme="majorHAnsi"/>
          <w:b/>
          <w:bCs/>
          <w:iCs/>
          <w:color w:val="404040" w:themeColor="text1" w:themeTint="BF"/>
          <w:sz w:val="28"/>
          <w:szCs w:val="28"/>
          <w:u w:val="single"/>
          <w:lang w:val="sk-SK"/>
        </w:rPr>
      </w:pPr>
      <w:bookmarkStart w:id="5" w:name="_gbjz567ucwn" w:colFirst="0" w:colLast="0"/>
      <w:bookmarkStart w:id="6" w:name="_Hlk58344004"/>
      <w:bookmarkEnd w:id="5"/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sz w:val="28"/>
          <w:szCs w:val="28"/>
          <w:u w:val="single"/>
          <w:lang w:val="sk-SK"/>
        </w:rPr>
        <w:lastRenderedPageBreak/>
        <w:t>Štátne záruky za úvery pre gastro prevádzky</w:t>
      </w:r>
    </w:p>
    <w:p w14:paraId="0FCB3BA5" w14:textId="77777777" w:rsidR="00E172C8" w:rsidRPr="00C63FBD" w:rsidRDefault="00E172C8" w:rsidP="006919E1">
      <w:pPr>
        <w:spacing w:after="0" w:line="288" w:lineRule="auto"/>
        <w:rPr>
          <w:rFonts w:asciiTheme="majorHAnsi" w:hAnsiTheme="majorHAnsi" w:cstheme="majorHAnsi"/>
          <w:iCs/>
          <w:color w:val="404040" w:themeColor="text1" w:themeTint="BF"/>
          <w:sz w:val="28"/>
          <w:szCs w:val="28"/>
          <w:u w:val="single"/>
          <w:lang w:val="sk-SK"/>
        </w:rPr>
      </w:pPr>
    </w:p>
    <w:p w14:paraId="18BFFC27" w14:textId="5CA62E43" w:rsidR="00086FB2" w:rsidRPr="00C63FBD" w:rsidRDefault="00086FB2" w:rsidP="006919E1">
      <w:pPr>
        <w:spacing w:after="0" w:line="288" w:lineRule="auto"/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Zástupcovia gastr</w:t>
      </w:r>
      <w:r w:rsidR="00341A5D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a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navrhujú nastaviť štátne záruky za úvery pre gastro podniky podľa vzoru Českej republiky, kde napríklad malé a stredné gastro prevádzky získajú štátne ručenie </w:t>
      </w:r>
      <w:r w:rsidR="00341A5D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za bankový úver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až vo výške 90 %.</w:t>
      </w:r>
    </w:p>
    <w:p w14:paraId="476F66B8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bookmarkEnd w:id="6"/>
    <w:p w14:paraId="4C2567CC" w14:textId="3F6C90B4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>Česká republika</w:t>
      </w:r>
      <w:r w:rsidR="00086FB2"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>: U</w:t>
      </w:r>
      <w:r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>kážka fungujúcej záruky štátu ako veriteľa</w:t>
      </w:r>
    </w:p>
    <w:p w14:paraId="719B4D76" w14:textId="77777777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</w:p>
    <w:p w14:paraId="6868F573" w14:textId="42F81E0F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Podnikatelia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vrátane gastro prevádzok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môžu žiadať o úver cez komerčnú banku v rámci programu COVID III. </w:t>
      </w:r>
      <w:r w:rsidR="00866582" w:rsidRPr="00C63FBD">
        <w:rPr>
          <w:rFonts w:asciiTheme="majorHAnsi" w:hAnsiTheme="majorHAnsi" w:cstheme="majorHAnsi"/>
          <w:color w:val="404040" w:themeColor="text1" w:themeTint="BF"/>
          <w:lang w:val="sk-SK"/>
        </w:rPr>
        <w:t>Úver je schválený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866582" w:rsidRPr="00C63FBD">
        <w:rPr>
          <w:rFonts w:asciiTheme="majorHAnsi" w:hAnsiTheme="majorHAnsi" w:cstheme="majorHAnsi"/>
          <w:color w:val="404040" w:themeColor="text1" w:themeTint="BF"/>
          <w:lang w:val="sk-SK"/>
        </w:rPr>
        <w:t>v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banke, v ktorej budú o úver žiadať (drvivá väčšina </w:t>
      </w:r>
      <w:r w:rsidR="008A2A7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bánk 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sa do programu COVID III zapojila)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, bez nutnosti ďalšej administratívy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4F9EF2C4" w14:textId="77777777" w:rsidR="00804304" w:rsidRPr="00C63FBD" w:rsidRDefault="00804304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1D9D35CB" w14:textId="7F0D7B9B" w:rsidR="004317D6" w:rsidRPr="00C63FBD" w:rsidRDefault="00866582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Program COVID III je určený pre m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alé a stredné podniky 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s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menej ako 250 </w:t>
      </w:r>
      <w:r w:rsidR="008A2A7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zamestnancami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(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na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program</w:t>
      </w:r>
      <w:r w:rsidR="00341A5D" w:rsidRPr="00C63FBD">
        <w:rPr>
          <w:rFonts w:asciiTheme="majorHAnsi" w:hAnsiTheme="majorHAnsi" w:cstheme="majorHAnsi"/>
          <w:color w:val="404040" w:themeColor="text1" w:themeTint="BF"/>
          <w:lang w:val="sk-SK"/>
        </w:rPr>
        <w:t>e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sa môžu zúčastniť aj firmy nad 250 </w:t>
      </w:r>
      <w:r w:rsidR="008A2A7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zamestnancov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s trochu inými podmienkami)</w:t>
      </w:r>
    </w:p>
    <w:p w14:paraId="33255E46" w14:textId="5072972D" w:rsidR="004317D6" w:rsidRPr="00C63FBD" w:rsidRDefault="008A2A72" w:rsidP="006919E1">
      <w:pPr>
        <w:numPr>
          <w:ilvl w:val="0"/>
          <w:numId w:val="18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Ručenia </w:t>
      </w:r>
      <w:r w:rsidR="0086658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sú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poskytované najviac v rozsahu 90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% dlhu z jednotlivého poskytnutého úveru, 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takže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podiel banky na riziku je minimálne 10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</w:t>
      </w:r>
      <w:r w:rsidR="00866582" w:rsidRPr="00C63FBD">
        <w:rPr>
          <w:rFonts w:asciiTheme="majorHAnsi" w:hAnsiTheme="majorHAnsi" w:cstheme="majorHAnsi"/>
          <w:color w:val="404040" w:themeColor="text1" w:themeTint="BF"/>
          <w:lang w:val="sk-SK"/>
        </w:rPr>
        <w:t>%.</w:t>
      </w:r>
    </w:p>
    <w:p w14:paraId="3B9E7FBE" w14:textId="571E811F" w:rsidR="004317D6" w:rsidRPr="00C63FBD" w:rsidRDefault="008A2A72" w:rsidP="006919E1">
      <w:pPr>
        <w:numPr>
          <w:ilvl w:val="0"/>
          <w:numId w:val="18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Plnenie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zo záruky v jednotlivom prípade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je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obmedzené sumou 45 mil. CZK.</w:t>
      </w:r>
    </w:p>
    <w:p w14:paraId="4A976D78" w14:textId="02E5DD53" w:rsidR="004317D6" w:rsidRPr="00C63FBD" w:rsidRDefault="008A2A72" w:rsidP="006919E1">
      <w:pPr>
        <w:numPr>
          <w:ilvl w:val="0"/>
          <w:numId w:val="18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Žiadosti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a riziká si </w:t>
      </w:r>
      <w:r w:rsidR="00440803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banky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riešia samostatne.</w:t>
      </w:r>
    </w:p>
    <w:p w14:paraId="4EA22DE0" w14:textId="77777777" w:rsidR="00804304" w:rsidRPr="00C63FBD" w:rsidRDefault="00804304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2E4F7F71" w14:textId="28DA0297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Na čo sa dá použiť:</w:t>
      </w:r>
    </w:p>
    <w:p w14:paraId="3AD8ECA4" w14:textId="7610750A" w:rsidR="004317D6" w:rsidRPr="00C63FBD" w:rsidRDefault="008A2A72" w:rsidP="006919E1">
      <w:pPr>
        <w:numPr>
          <w:ilvl w:val="0"/>
          <w:numId w:val="19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Rýchle úverovanie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prevádzkových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>,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a </w:t>
      </w:r>
      <w:r w:rsidR="00804304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najnovšie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aj investičných nákladov firiem prostredníctvom komerčných bánk.</w:t>
      </w:r>
    </w:p>
    <w:p w14:paraId="2EFB1A35" w14:textId="7066E4A9" w:rsidR="004317D6" w:rsidRPr="00C63FBD" w:rsidRDefault="008A2A72" w:rsidP="006919E1">
      <w:pPr>
        <w:numPr>
          <w:ilvl w:val="0"/>
          <w:numId w:val="19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revádzkové výdavky - mzdy, nájomné, platby za energie, úhrada dodávateľsko-odberateľských faktúr, obstaranie zásob, materiálu apod.</w:t>
      </w:r>
    </w:p>
    <w:p w14:paraId="6BDDB294" w14:textId="77777777" w:rsidR="00804304" w:rsidRPr="00C63FBD" w:rsidRDefault="00804304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722939CB" w14:textId="3EC6CE1B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Ako sa dá o pomoc žiadať</w:t>
      </w:r>
    </w:p>
    <w:p w14:paraId="329B1915" w14:textId="40D3234C" w:rsidR="004317D6" w:rsidRPr="00C63FBD" w:rsidRDefault="008A2A72" w:rsidP="006919E1">
      <w:pPr>
        <w:numPr>
          <w:ilvl w:val="0"/>
          <w:numId w:val="20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Podnikateľ </w:t>
      </w:r>
      <w:r w:rsidR="00536F29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žiada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o pomoc formou žiadosti o úver </w:t>
      </w:r>
      <w:r w:rsidR="00536F29" w:rsidRPr="00C63FBD">
        <w:rPr>
          <w:rFonts w:asciiTheme="majorHAnsi" w:hAnsiTheme="majorHAnsi" w:cstheme="majorHAnsi"/>
          <w:color w:val="404040" w:themeColor="text1" w:themeTint="BF"/>
          <w:lang w:val="sk-SK"/>
        </w:rPr>
        <w:t>vo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svojej banky (musí byť zapojená v programe 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>a 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mať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zmluvu</w:t>
      </w:r>
      <w:r w:rsidR="00086FB2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s Česko-Moravskou rozvojovou a záručnou bankou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)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.</w:t>
      </w:r>
    </w:p>
    <w:p w14:paraId="5A086383" w14:textId="77777777" w:rsidR="00804304" w:rsidRPr="00C63FBD" w:rsidRDefault="00804304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031E09AF" w14:textId="3318D0A0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Program - COVID III</w:t>
      </w:r>
    </w:p>
    <w:p w14:paraId="137BA6D8" w14:textId="2C2927A6" w:rsidR="004317D6" w:rsidRPr="00C63FBD" w:rsidRDefault="00086FB2">
      <w:pPr>
        <w:numPr>
          <w:ilvl w:val="0"/>
          <w:numId w:val="21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Program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má umožniť poskytnutie podpory firmám, ktoré by inak na úver </w:t>
      </w:r>
      <w:r w:rsidR="00536F29" w:rsidRPr="00C63FBD">
        <w:rPr>
          <w:rFonts w:asciiTheme="majorHAnsi" w:hAnsiTheme="majorHAnsi" w:cstheme="majorHAnsi"/>
          <w:color w:val="404040" w:themeColor="text1" w:themeTint="BF"/>
          <w:lang w:val="sk-SK"/>
        </w:rPr>
        <w:t>získali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len ťažko alebo príliš neskoro.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Cieľom je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aj udržani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e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zamestnanosti.</w:t>
      </w:r>
    </w:p>
    <w:p w14:paraId="09BC5BC1" w14:textId="51FF92F2" w:rsidR="004317D6" w:rsidRPr="00C63FBD" w:rsidRDefault="008A2A72" w:rsidP="006919E1">
      <w:pPr>
        <w:numPr>
          <w:ilvl w:val="0"/>
          <w:numId w:val="21"/>
        </w:num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Program </w:t>
      </w:r>
      <w:r w:rsidR="004317D6" w:rsidRPr="00C63FBD">
        <w:rPr>
          <w:rFonts w:asciiTheme="majorHAnsi" w:hAnsiTheme="majorHAnsi" w:cstheme="majorHAnsi"/>
          <w:color w:val="404040" w:themeColor="text1" w:themeTint="BF"/>
          <w:lang w:val="sk-SK"/>
        </w:rPr>
        <w:t>bude fungovať do polovice roka 2021, snaha MF ČR je o predĺženie do konca roka 2021.</w:t>
      </w:r>
    </w:p>
    <w:p w14:paraId="67B6A1FA" w14:textId="77777777" w:rsidR="004317D6" w:rsidRPr="00C63FBD" w:rsidRDefault="004317D6" w:rsidP="006919E1">
      <w:pPr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</w:p>
    <w:p w14:paraId="0B6B31F1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2A679BC8" w14:textId="77777777" w:rsidR="00413542" w:rsidRPr="00C63FBD" w:rsidRDefault="00413542" w:rsidP="006919E1">
      <w:pPr>
        <w:pStyle w:val="Nadpis2"/>
        <w:spacing w:before="0" w:after="0" w:line="288" w:lineRule="auto"/>
        <w:rPr>
          <w:rFonts w:asciiTheme="majorHAnsi" w:hAnsiTheme="majorHAnsi" w:cstheme="majorHAnsi"/>
          <w:sz w:val="22"/>
          <w:szCs w:val="22"/>
          <w:lang w:val="sk-SK"/>
        </w:rPr>
      </w:pPr>
      <w:bookmarkStart w:id="7" w:name="_ulyxcys5sue9" w:colFirst="0" w:colLast="0"/>
      <w:bookmarkEnd w:id="7"/>
      <w:r w:rsidRPr="00C63FBD">
        <w:rPr>
          <w:rFonts w:asciiTheme="majorHAnsi" w:hAnsiTheme="majorHAnsi" w:cstheme="majorHAnsi"/>
          <w:sz w:val="22"/>
          <w:szCs w:val="22"/>
          <w:lang w:val="sk-SK"/>
        </w:rPr>
        <w:br w:type="page"/>
      </w:r>
    </w:p>
    <w:p w14:paraId="57D3561D" w14:textId="0EF3F015" w:rsidR="0058479A" w:rsidRPr="00C63FBD" w:rsidRDefault="00E172C8" w:rsidP="006919E1">
      <w:pPr>
        <w:spacing w:after="0" w:line="288" w:lineRule="auto"/>
        <w:rPr>
          <w:rFonts w:asciiTheme="majorHAnsi" w:hAnsiTheme="majorHAnsi" w:cstheme="majorHAnsi"/>
          <w:b/>
          <w:bCs/>
          <w:iCs/>
          <w:color w:val="404040" w:themeColor="text1" w:themeTint="BF"/>
          <w:sz w:val="32"/>
          <w:szCs w:val="32"/>
          <w:u w:val="single"/>
          <w:lang w:val="sk-SK"/>
        </w:rPr>
      </w:pPr>
      <w:bookmarkStart w:id="8" w:name="_kxytwvr2a5f3" w:colFirst="0" w:colLast="0"/>
      <w:bookmarkStart w:id="9" w:name="_Hlk58344087"/>
      <w:bookmarkEnd w:id="8"/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sz w:val="32"/>
          <w:szCs w:val="32"/>
          <w:u w:val="single"/>
          <w:lang w:val="sk-SK"/>
        </w:rPr>
        <w:lastRenderedPageBreak/>
        <w:t>Podpora nájomného bez spoluúčasti prenajímateľa</w:t>
      </w:r>
    </w:p>
    <w:p w14:paraId="3F4E07D5" w14:textId="77777777" w:rsidR="00E172C8" w:rsidRPr="00C63FBD" w:rsidRDefault="00E172C8" w:rsidP="006919E1">
      <w:pPr>
        <w:spacing w:after="0" w:line="288" w:lineRule="auto"/>
        <w:rPr>
          <w:rFonts w:asciiTheme="majorHAnsi" w:hAnsiTheme="majorHAnsi" w:cstheme="majorHAnsi"/>
          <w:iCs/>
          <w:color w:val="404040" w:themeColor="text1" w:themeTint="BF"/>
          <w:lang w:val="sk-SK"/>
        </w:rPr>
      </w:pPr>
    </w:p>
    <w:p w14:paraId="71CD91EA" w14:textId="5C41B857" w:rsidR="0058479A" w:rsidRPr="00C63FBD" w:rsidRDefault="00086FB2" w:rsidP="006919E1">
      <w:pPr>
        <w:spacing w:after="0" w:line="288" w:lineRule="auto"/>
        <w:rPr>
          <w:rFonts w:asciiTheme="majorHAnsi" w:hAnsiTheme="majorHAnsi" w:cstheme="majorHAnsi"/>
          <w:b/>
          <w:bCs/>
          <w:lang w:val="sk-SK"/>
        </w:rPr>
      </w:pP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Pomoc s nájmami z dielne MH SR je </w:t>
      </w:r>
      <w:r w:rsidR="00536F29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pre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podmienk</w:t>
      </w:r>
      <w:r w:rsidR="00536F29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u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spoluúčasti prenajímateľa pre gastro sektor len veľmi ťažko dosiahnuteľná, a tak iba slabo využitá a neúčinná. Gastro sektor preto navrhuje vynechať podmienku nutnosti spoluúčasti prenajímateľa nehnuteľnosti, podobne ako je to </w:t>
      </w:r>
      <w:r w:rsidR="00536F29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v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iných európskych kraj</w:t>
      </w:r>
      <w:r w:rsidR="00536F29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inách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.</w:t>
      </w:r>
    </w:p>
    <w:p w14:paraId="6C6AE504" w14:textId="77777777" w:rsidR="0058479A" w:rsidRPr="00C63FBD" w:rsidRDefault="0058479A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bookmarkEnd w:id="9"/>
    <w:p w14:paraId="24DE095D" w14:textId="726A9427" w:rsidR="00413542" w:rsidRPr="00C63FBD" w:rsidRDefault="0058479A" w:rsidP="006919E1">
      <w:pPr>
        <w:spacing w:after="0" w:line="288" w:lineRule="auto"/>
        <w:rPr>
          <w:rFonts w:asciiTheme="majorHAnsi" w:hAnsiTheme="majorHAnsi" w:cstheme="majorHAnsi"/>
          <w:b/>
          <w:lang w:val="sk-SK"/>
        </w:rPr>
      </w:pPr>
      <w:r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 xml:space="preserve">Česká republika: </w:t>
      </w:r>
      <w:r w:rsidR="00086FB2" w:rsidRPr="00C63FBD">
        <w:rPr>
          <w:rFonts w:asciiTheme="majorHAnsi" w:hAnsiTheme="majorHAnsi" w:cstheme="majorHAnsi"/>
          <w:b/>
          <w:lang w:val="sk-SK"/>
        </w:rPr>
        <w:t>COVID Nájomné</w:t>
      </w:r>
    </w:p>
    <w:p w14:paraId="751A00C2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019C19BA" w14:textId="59EBA36B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Kto má nárok</w:t>
      </w:r>
      <w:r w:rsidR="00DC32D5" w:rsidRPr="00C63FBD">
        <w:rPr>
          <w:rFonts w:asciiTheme="majorHAnsi" w:hAnsiTheme="majorHAnsi" w:cstheme="majorHAnsi"/>
          <w:lang w:val="sk-SK"/>
        </w:rPr>
        <w:t xml:space="preserve"> na pomoc s nájmom</w:t>
      </w:r>
      <w:r w:rsidRPr="00C63FBD">
        <w:rPr>
          <w:rFonts w:asciiTheme="majorHAnsi" w:hAnsiTheme="majorHAnsi" w:cstheme="majorHAnsi"/>
          <w:lang w:val="sk-SK"/>
        </w:rPr>
        <w:t>:</w:t>
      </w:r>
    </w:p>
    <w:p w14:paraId="5C93A2CD" w14:textId="0681194E" w:rsidR="00413542" w:rsidRPr="00C63FBD" w:rsidRDefault="008A2A72" w:rsidP="006919E1">
      <w:pPr>
        <w:numPr>
          <w:ilvl w:val="0"/>
          <w:numId w:val="9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Do </w:t>
      </w:r>
      <w:r w:rsidR="00413542" w:rsidRPr="00C63FBD">
        <w:rPr>
          <w:rFonts w:asciiTheme="majorHAnsi" w:hAnsiTheme="majorHAnsi" w:cstheme="majorHAnsi"/>
          <w:lang w:val="sk-SK"/>
        </w:rPr>
        <w:t xml:space="preserve">programu </w:t>
      </w:r>
      <w:r w:rsidR="00DC32D5" w:rsidRPr="00C63FBD">
        <w:rPr>
          <w:rFonts w:asciiTheme="majorHAnsi" w:hAnsiTheme="majorHAnsi" w:cstheme="majorHAnsi"/>
          <w:lang w:val="sk-SK"/>
        </w:rPr>
        <w:t>sú zaradení</w:t>
      </w:r>
      <w:r w:rsidR="00413542" w:rsidRPr="00C63FBD">
        <w:rPr>
          <w:rFonts w:asciiTheme="majorHAnsi" w:hAnsiTheme="majorHAnsi" w:cstheme="majorHAnsi"/>
          <w:lang w:val="sk-SK"/>
        </w:rPr>
        <w:t xml:space="preserve"> všetci podnikatelia prevádzkujúc</w:t>
      </w:r>
      <w:r w:rsidR="00DC32D5" w:rsidRPr="00C63FBD">
        <w:rPr>
          <w:rFonts w:asciiTheme="majorHAnsi" w:hAnsiTheme="majorHAnsi" w:cstheme="majorHAnsi"/>
          <w:lang w:val="sk-SK"/>
        </w:rPr>
        <w:t>i</w:t>
      </w:r>
      <w:r w:rsidR="00413542" w:rsidRPr="00C63FBD">
        <w:rPr>
          <w:rFonts w:asciiTheme="majorHAnsi" w:hAnsiTheme="majorHAnsi" w:cstheme="majorHAnsi"/>
          <w:lang w:val="sk-SK"/>
        </w:rPr>
        <w:t xml:space="preserve"> maloobchodnú podnikateľskú činnosť a poskyt</w:t>
      </w:r>
      <w:r w:rsidR="00DC32D5" w:rsidRPr="00C63FBD">
        <w:rPr>
          <w:rFonts w:asciiTheme="majorHAnsi" w:hAnsiTheme="majorHAnsi" w:cstheme="majorHAnsi"/>
          <w:lang w:val="sk-SK"/>
        </w:rPr>
        <w:t>ujúci</w:t>
      </w:r>
      <w:r w:rsidR="00413542" w:rsidRPr="00C63FBD">
        <w:rPr>
          <w:rFonts w:asciiTheme="majorHAnsi" w:hAnsiTheme="majorHAnsi" w:cstheme="majorHAnsi"/>
          <w:lang w:val="sk-SK"/>
        </w:rPr>
        <w:t xml:space="preserve"> služ</w:t>
      </w:r>
      <w:r w:rsidR="00DC32D5" w:rsidRPr="00C63FBD">
        <w:rPr>
          <w:rFonts w:asciiTheme="majorHAnsi" w:hAnsiTheme="majorHAnsi" w:cstheme="majorHAnsi"/>
          <w:lang w:val="sk-SK"/>
        </w:rPr>
        <w:t>by</w:t>
      </w:r>
      <w:r w:rsidR="00413542" w:rsidRPr="00C63FBD">
        <w:rPr>
          <w:rFonts w:asciiTheme="majorHAnsi" w:hAnsiTheme="majorHAnsi" w:cstheme="majorHAnsi"/>
          <w:lang w:val="sk-SK"/>
        </w:rPr>
        <w:t xml:space="preserve"> zákazníkom v prevádzk</w:t>
      </w:r>
      <w:r w:rsidR="00DC32D5" w:rsidRPr="00C63FBD">
        <w:rPr>
          <w:rFonts w:asciiTheme="majorHAnsi" w:hAnsiTheme="majorHAnsi" w:cstheme="majorHAnsi"/>
          <w:lang w:val="sk-SK"/>
        </w:rPr>
        <w:t>e</w:t>
      </w:r>
      <w:r w:rsidR="00413542" w:rsidRPr="00C63FBD">
        <w:rPr>
          <w:rFonts w:asciiTheme="majorHAnsi" w:hAnsiTheme="majorHAnsi" w:cstheme="majorHAnsi"/>
          <w:lang w:val="sk-SK"/>
        </w:rPr>
        <w:t>, ktorí sú v nájme a ktorým bolo na základe prijatých krízových opatrení zakázané alebo výrazne obmedzené poskytovanie služieb zákazníkom a predaj tovaru v týchto prevádzkach.</w:t>
      </w:r>
    </w:p>
    <w:p w14:paraId="26D96F16" w14:textId="30C4F12A" w:rsidR="00413542" w:rsidRPr="00C63FBD" w:rsidRDefault="008A2A72" w:rsidP="006919E1">
      <w:pPr>
        <w:numPr>
          <w:ilvl w:val="0"/>
          <w:numId w:val="9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Prevádzky </w:t>
      </w:r>
      <w:r w:rsidR="00413542" w:rsidRPr="00C63FBD">
        <w:rPr>
          <w:rFonts w:asciiTheme="majorHAnsi" w:hAnsiTheme="majorHAnsi" w:cstheme="majorHAnsi"/>
          <w:lang w:val="sk-SK"/>
        </w:rPr>
        <w:t xml:space="preserve">stravovacích služieb (reštaurácie, kaviarne, bary, krčmy, čajovne a pod.), </w:t>
      </w:r>
      <w:r w:rsidRPr="00C63FBD">
        <w:rPr>
          <w:rFonts w:asciiTheme="majorHAnsi" w:hAnsiTheme="majorHAnsi" w:cstheme="majorHAnsi"/>
          <w:lang w:val="sk-SK"/>
        </w:rPr>
        <w:t>takisto</w:t>
      </w:r>
      <w:r w:rsidR="00413542" w:rsidRPr="00C63FBD">
        <w:rPr>
          <w:rFonts w:asciiTheme="majorHAnsi" w:hAnsiTheme="majorHAnsi" w:cstheme="majorHAnsi"/>
          <w:lang w:val="sk-SK"/>
        </w:rPr>
        <w:t xml:space="preserve"> hudobné, tanečné, herné a podobné spoločenské kluby a diskotéky, kiná, kongresy a výstavy, športoviská, múzeá, galérie a pod.</w:t>
      </w:r>
    </w:p>
    <w:p w14:paraId="53C294D6" w14:textId="77777777" w:rsidR="00590108" w:rsidRPr="00C63FBD" w:rsidRDefault="00590108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7E877169" w14:textId="2118E980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Výška pomoci</w:t>
      </w:r>
    </w:p>
    <w:p w14:paraId="2D16C1DB" w14:textId="7A4441CC" w:rsidR="00413542" w:rsidRPr="00C63FBD" w:rsidRDefault="00413542" w:rsidP="006919E1">
      <w:pPr>
        <w:numPr>
          <w:ilvl w:val="0"/>
          <w:numId w:val="11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50 % z celkového nájomného za obdobie júl až september 2020 (Q3)</w:t>
      </w:r>
      <w:r w:rsidR="008A2A72" w:rsidRPr="00C63FBD">
        <w:rPr>
          <w:rFonts w:asciiTheme="majorHAnsi" w:hAnsiTheme="majorHAnsi" w:cstheme="majorHAnsi"/>
          <w:lang w:val="sk-SK"/>
        </w:rPr>
        <w:t>.</w:t>
      </w:r>
    </w:p>
    <w:p w14:paraId="5D17BA03" w14:textId="7DC29F84" w:rsidR="00413542" w:rsidRPr="00C63FBD" w:rsidRDefault="00413542" w:rsidP="006919E1">
      <w:pPr>
        <w:numPr>
          <w:ilvl w:val="0"/>
          <w:numId w:val="11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Pomoc nie je podmienená zľavou zo strany prenajímateľa</w:t>
      </w:r>
      <w:r w:rsidR="008A2A72" w:rsidRPr="00C63FBD">
        <w:rPr>
          <w:rFonts w:asciiTheme="majorHAnsi" w:hAnsiTheme="majorHAnsi" w:cstheme="majorHAnsi"/>
          <w:lang w:val="sk-SK"/>
        </w:rPr>
        <w:t>.</w:t>
      </w:r>
    </w:p>
    <w:p w14:paraId="5B6A924B" w14:textId="77777777" w:rsidR="00DC32D5" w:rsidRPr="00C63FBD" w:rsidRDefault="00DC32D5" w:rsidP="006919E1">
      <w:pPr>
        <w:pStyle w:val="Nadpis2"/>
        <w:spacing w:before="0" w:after="0" w:line="288" w:lineRule="auto"/>
        <w:rPr>
          <w:rFonts w:asciiTheme="majorHAnsi" w:hAnsiTheme="majorHAnsi" w:cstheme="majorHAnsi"/>
          <w:sz w:val="22"/>
          <w:szCs w:val="22"/>
          <w:lang w:val="sk-SK"/>
        </w:rPr>
      </w:pPr>
      <w:bookmarkStart w:id="10" w:name="_yu3mebbzuvdr" w:colFirst="0" w:colLast="0"/>
      <w:bookmarkEnd w:id="10"/>
    </w:p>
    <w:p w14:paraId="7247DB8E" w14:textId="449902B7" w:rsidR="00413542" w:rsidRPr="00C63FBD" w:rsidRDefault="00413542" w:rsidP="006919E1">
      <w:pPr>
        <w:pStyle w:val="Nadpis2"/>
        <w:spacing w:before="0" w:after="0" w:line="288" w:lineRule="auto"/>
        <w:rPr>
          <w:rFonts w:asciiTheme="majorHAnsi" w:hAnsiTheme="majorHAnsi" w:cstheme="majorHAnsi"/>
          <w:sz w:val="22"/>
          <w:szCs w:val="22"/>
          <w:lang w:val="sk-SK"/>
        </w:rPr>
      </w:pPr>
      <w:r w:rsidRPr="00C63FBD">
        <w:rPr>
          <w:rFonts w:asciiTheme="majorHAnsi" w:hAnsiTheme="majorHAnsi" w:cstheme="majorHAnsi"/>
          <w:sz w:val="22"/>
          <w:szCs w:val="22"/>
          <w:lang w:val="sk-SK"/>
        </w:rPr>
        <w:t>Maximálna výška pomoci je 10 mil. CZK pre všetky prevádzky jedného žiadateľa.</w:t>
      </w:r>
      <w:r w:rsidRPr="00C63FBD">
        <w:rPr>
          <w:rFonts w:asciiTheme="majorHAnsi" w:hAnsiTheme="majorHAnsi" w:cstheme="majorHAnsi"/>
          <w:sz w:val="22"/>
          <w:szCs w:val="22"/>
          <w:lang w:val="sk-SK"/>
        </w:rPr>
        <w:br w:type="page"/>
      </w:r>
    </w:p>
    <w:p w14:paraId="7FCB9BE1" w14:textId="2881074E" w:rsidR="00BE0BB1" w:rsidRPr="00C63FBD" w:rsidRDefault="00E172C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</w:pPr>
      <w:bookmarkStart w:id="11" w:name="_vv12vkka3u6k" w:colFirst="0" w:colLast="0"/>
      <w:bookmarkStart w:id="12" w:name="_Hlk58344121"/>
      <w:bookmarkEnd w:id="11"/>
      <w:r w:rsidRPr="00C63FBD"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  <w:lastRenderedPageBreak/>
        <w:t>Priama finančná podpora konzumácie v gastro podnikoch</w:t>
      </w:r>
    </w:p>
    <w:p w14:paraId="638F95C4" w14:textId="77777777" w:rsidR="00E172C8" w:rsidRPr="00C63FBD" w:rsidRDefault="00E172C8" w:rsidP="006919E1">
      <w:pPr>
        <w:spacing w:after="0" w:line="288" w:lineRule="auto"/>
        <w:rPr>
          <w:lang w:val="sk-SK"/>
        </w:rPr>
      </w:pPr>
    </w:p>
    <w:p w14:paraId="5ADE790E" w14:textId="0E5E8265" w:rsidR="00BE0BB1" w:rsidRPr="00C63FBD" w:rsidRDefault="0059010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Zástupcovia gastro sektora navrhujú vytvorenie schémy pomoci na základe poukazov na konzumáciu distribuovaných do každej domácnosti, prípadne iných foriem priamej podpory konzumácie v reštauráciách. Touto cestou sa vybralo už niekoľko európskych krajín a výsledky týchto programov ukazujú, že poukazy na zľavu na konzumáciu v stravovacích zariadenia</w:t>
      </w:r>
      <w:r w:rsidR="006C1A1F"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>ch</w:t>
      </w:r>
      <w:r w:rsidRPr="00C63FBD">
        <w:rPr>
          <w:rFonts w:asciiTheme="majorHAnsi" w:hAnsiTheme="majorHAnsi" w:cstheme="majorHAnsi"/>
          <w:b/>
          <w:bCs/>
          <w:iCs/>
          <w:color w:val="404040" w:themeColor="text1" w:themeTint="BF"/>
          <w:lang w:val="sk-SK"/>
        </w:rPr>
        <w:t xml:space="preserve"> sú rýchlym a efektívnym riešením, ktoré by pomohlo zabezpečiť prevádzke aspoň základné tržby a udržať zamestnanosť.  </w:t>
      </w:r>
      <w:r w:rsidR="00BE0BB1" w:rsidRPr="00C63FBD">
        <w:rPr>
          <w:rFonts w:asciiTheme="majorHAnsi" w:hAnsiTheme="majorHAnsi" w:cstheme="majorHAnsi"/>
          <w:b/>
          <w:bCs/>
          <w:i/>
          <w:color w:val="404040" w:themeColor="text1" w:themeTint="BF"/>
          <w:lang w:val="sk-SK"/>
        </w:rPr>
        <w:t xml:space="preserve"> </w:t>
      </w:r>
    </w:p>
    <w:p w14:paraId="1262EF78" w14:textId="23D6F69D" w:rsidR="00D43497" w:rsidRPr="00C63FBD" w:rsidRDefault="00D43497" w:rsidP="006919E1">
      <w:pPr>
        <w:pStyle w:val="Nadpis2"/>
        <w:spacing w:before="0" w:after="0" w:line="288" w:lineRule="auto"/>
        <w:rPr>
          <w:lang w:val="sk-SK"/>
        </w:rPr>
      </w:pPr>
    </w:p>
    <w:bookmarkEnd w:id="12"/>
    <w:p w14:paraId="7EEF2E88" w14:textId="5CC864C1" w:rsidR="00BE0BB1" w:rsidRPr="00C63FBD" w:rsidRDefault="00BE0BB1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Zahraničné príklady využívania rôznych foriem </w:t>
      </w:r>
      <w:r w:rsidR="00590108" w:rsidRPr="00C63FBD">
        <w:rPr>
          <w:rFonts w:asciiTheme="majorHAnsi" w:hAnsiTheme="majorHAnsi" w:cstheme="majorHAnsi"/>
          <w:lang w:val="sk-SK"/>
        </w:rPr>
        <w:t>priamej finančnej podpory konzumácie</w:t>
      </w:r>
      <w:r w:rsidRPr="00C63FBD">
        <w:rPr>
          <w:rFonts w:asciiTheme="majorHAnsi" w:hAnsiTheme="majorHAnsi" w:cstheme="majorHAnsi"/>
          <w:lang w:val="sk-SK"/>
        </w:rPr>
        <w:t>:</w:t>
      </w:r>
    </w:p>
    <w:p w14:paraId="34268E33" w14:textId="77777777" w:rsidR="00BE0BB1" w:rsidRPr="00C63FBD" w:rsidRDefault="00BE0BB1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2EB2ACC1" w14:textId="603A6400" w:rsidR="00413542" w:rsidRPr="00C63FBD" w:rsidRDefault="008A2A72" w:rsidP="006919E1">
      <w:pPr>
        <w:numPr>
          <w:ilvl w:val="0"/>
          <w:numId w:val="5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R</w:t>
      </w:r>
      <w:r w:rsidR="00413542" w:rsidRPr="00C63FBD">
        <w:rPr>
          <w:rFonts w:asciiTheme="majorHAnsi" w:hAnsiTheme="majorHAnsi" w:cstheme="majorHAnsi"/>
          <w:lang w:val="sk-SK"/>
        </w:rPr>
        <w:t xml:space="preserve">akúska </w:t>
      </w:r>
      <w:r w:rsidR="00413542" w:rsidRPr="00C63FBD">
        <w:rPr>
          <w:rFonts w:asciiTheme="majorHAnsi" w:hAnsiTheme="majorHAnsi" w:cstheme="majorHAnsi"/>
          <w:b/>
          <w:lang w:val="sk-SK"/>
        </w:rPr>
        <w:t>Viedeň</w:t>
      </w:r>
      <w:r w:rsidR="00413542" w:rsidRPr="00C63FBD">
        <w:rPr>
          <w:rFonts w:asciiTheme="majorHAnsi" w:hAnsiTheme="majorHAnsi" w:cstheme="majorHAnsi"/>
          <w:lang w:val="sk-SK"/>
        </w:rPr>
        <w:t xml:space="preserve"> takto sanovala miestnu gastro scénu sumou 40 miliónov eur, </w:t>
      </w:r>
      <w:r w:rsidR="00300FBB" w:rsidRPr="00C63FBD">
        <w:rPr>
          <w:rFonts w:asciiTheme="majorHAnsi" w:hAnsiTheme="majorHAnsi" w:cstheme="majorHAnsi"/>
          <w:lang w:val="sk-SK"/>
        </w:rPr>
        <w:t>keď</w:t>
      </w:r>
      <w:r w:rsidR="00413542" w:rsidRPr="00C63FBD">
        <w:rPr>
          <w:rFonts w:asciiTheme="majorHAnsi" w:hAnsiTheme="majorHAnsi" w:cstheme="majorHAnsi"/>
          <w:lang w:val="sk-SK"/>
        </w:rPr>
        <w:t xml:space="preserve"> do milióna domácností distribuovala poukážky v hodnote 25 </w:t>
      </w:r>
      <w:r w:rsidRPr="00C63FBD">
        <w:rPr>
          <w:rFonts w:asciiTheme="majorHAnsi" w:hAnsiTheme="majorHAnsi" w:cstheme="majorHAnsi"/>
          <w:lang w:val="sk-SK"/>
        </w:rPr>
        <w:t xml:space="preserve">EUR </w:t>
      </w:r>
      <w:r w:rsidR="00413542" w:rsidRPr="00C63FBD">
        <w:rPr>
          <w:rFonts w:asciiTheme="majorHAnsi" w:hAnsiTheme="majorHAnsi" w:cstheme="majorHAnsi"/>
          <w:lang w:val="sk-SK"/>
        </w:rPr>
        <w:t xml:space="preserve">a 50 </w:t>
      </w:r>
      <w:r w:rsidRPr="00C63FBD">
        <w:rPr>
          <w:rFonts w:asciiTheme="majorHAnsi" w:hAnsiTheme="majorHAnsi" w:cstheme="majorHAnsi"/>
          <w:lang w:val="sk-SK"/>
        </w:rPr>
        <w:t>EUR</w:t>
      </w:r>
      <w:r w:rsidR="00413542" w:rsidRPr="00C63FBD">
        <w:rPr>
          <w:rFonts w:asciiTheme="majorHAnsi" w:hAnsiTheme="majorHAnsi" w:cstheme="majorHAnsi"/>
          <w:lang w:val="sk-SK"/>
        </w:rPr>
        <w:t xml:space="preserve">. </w:t>
      </w:r>
    </w:p>
    <w:p w14:paraId="614F237E" w14:textId="77777777" w:rsidR="00BE0BB1" w:rsidRPr="00C63FBD" w:rsidRDefault="00BE0BB1" w:rsidP="006919E1">
      <w:pPr>
        <w:spacing w:after="0" w:line="288" w:lineRule="auto"/>
        <w:ind w:left="720"/>
        <w:rPr>
          <w:rFonts w:asciiTheme="majorHAnsi" w:hAnsiTheme="majorHAnsi" w:cstheme="majorHAnsi"/>
          <w:lang w:val="sk-SK"/>
        </w:rPr>
      </w:pPr>
    </w:p>
    <w:p w14:paraId="179A3DE9" w14:textId="6CEDF995" w:rsidR="00413542" w:rsidRPr="00C63FBD" w:rsidRDefault="008A2A72" w:rsidP="006919E1">
      <w:pPr>
        <w:numPr>
          <w:ilvl w:val="0"/>
          <w:numId w:val="5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K</w:t>
      </w:r>
      <w:r w:rsidR="00413542" w:rsidRPr="00C63FBD">
        <w:rPr>
          <w:rFonts w:asciiTheme="majorHAnsi" w:hAnsiTheme="majorHAnsi" w:cstheme="majorHAnsi"/>
          <w:lang w:val="sk-SK"/>
        </w:rPr>
        <w:t xml:space="preserve"> podobnej podpore gastro sektor</w:t>
      </w:r>
      <w:r w:rsidR="00300FBB" w:rsidRPr="00C63FBD">
        <w:rPr>
          <w:rFonts w:asciiTheme="majorHAnsi" w:hAnsiTheme="majorHAnsi" w:cstheme="majorHAnsi"/>
          <w:lang w:val="sk-SK"/>
        </w:rPr>
        <w:t>a</w:t>
      </w:r>
      <w:r w:rsidR="00413542" w:rsidRPr="00C63FBD">
        <w:rPr>
          <w:rFonts w:asciiTheme="majorHAnsi" w:hAnsiTheme="majorHAnsi" w:cstheme="majorHAnsi"/>
          <w:lang w:val="sk-SK"/>
        </w:rPr>
        <w:t xml:space="preserve"> </w:t>
      </w:r>
      <w:r w:rsidRPr="00C63FBD">
        <w:rPr>
          <w:rFonts w:asciiTheme="majorHAnsi" w:hAnsiTheme="majorHAnsi" w:cstheme="majorHAnsi"/>
          <w:lang w:val="sk-SK"/>
        </w:rPr>
        <w:t xml:space="preserve">pristúpili </w:t>
      </w:r>
      <w:r w:rsidR="00413542" w:rsidRPr="00C63FBD">
        <w:rPr>
          <w:rFonts w:asciiTheme="majorHAnsi" w:hAnsiTheme="majorHAnsi" w:cstheme="majorHAnsi"/>
          <w:lang w:val="sk-SK"/>
        </w:rPr>
        <w:t xml:space="preserve">vo </w:t>
      </w:r>
      <w:r w:rsidR="00413542" w:rsidRPr="00C63FBD">
        <w:rPr>
          <w:rFonts w:asciiTheme="majorHAnsi" w:hAnsiTheme="majorHAnsi" w:cstheme="majorHAnsi"/>
          <w:b/>
          <w:lang w:val="sk-SK"/>
        </w:rPr>
        <w:t>Veľkej Británii</w:t>
      </w:r>
      <w:r w:rsidR="00413542" w:rsidRPr="00C63FBD">
        <w:rPr>
          <w:rFonts w:asciiTheme="majorHAnsi" w:hAnsiTheme="majorHAnsi" w:cstheme="majorHAnsi"/>
          <w:lang w:val="sk-SK"/>
        </w:rPr>
        <w:t xml:space="preserve"> v rámci programu ,,Eat out to help out“, </w:t>
      </w:r>
      <w:r w:rsidR="00300FBB" w:rsidRPr="00C63FBD">
        <w:rPr>
          <w:rFonts w:asciiTheme="majorHAnsi" w:hAnsiTheme="majorHAnsi" w:cstheme="majorHAnsi"/>
          <w:lang w:val="sk-SK"/>
        </w:rPr>
        <w:t>keď</w:t>
      </w:r>
      <w:r w:rsidR="00413542" w:rsidRPr="00C63FBD">
        <w:rPr>
          <w:rFonts w:asciiTheme="majorHAnsi" w:hAnsiTheme="majorHAnsi" w:cstheme="majorHAnsi"/>
          <w:lang w:val="sk-SK"/>
        </w:rPr>
        <w:t xml:space="preserve"> zákazníci </w:t>
      </w:r>
      <w:r w:rsidRPr="00C63FBD">
        <w:rPr>
          <w:rFonts w:asciiTheme="majorHAnsi" w:hAnsiTheme="majorHAnsi" w:cstheme="majorHAnsi"/>
          <w:lang w:val="sk-SK"/>
        </w:rPr>
        <w:t xml:space="preserve">získali </w:t>
      </w:r>
      <w:r w:rsidR="00413542" w:rsidRPr="00C63FBD">
        <w:rPr>
          <w:rFonts w:asciiTheme="majorHAnsi" w:hAnsiTheme="majorHAnsi" w:cstheme="majorHAnsi"/>
          <w:lang w:val="sk-SK"/>
        </w:rPr>
        <w:t>v 84</w:t>
      </w:r>
      <w:r w:rsidRPr="00C63FBD">
        <w:rPr>
          <w:rFonts w:asciiTheme="majorHAnsi" w:hAnsiTheme="majorHAnsi" w:cstheme="majorHAnsi"/>
          <w:lang w:val="sk-SK"/>
        </w:rPr>
        <w:t> </w:t>
      </w:r>
      <w:r w:rsidR="00413542" w:rsidRPr="00C63FBD">
        <w:rPr>
          <w:rFonts w:asciiTheme="majorHAnsi" w:hAnsiTheme="majorHAnsi" w:cstheme="majorHAnsi"/>
          <w:lang w:val="sk-SK"/>
        </w:rPr>
        <w:t xml:space="preserve">700 </w:t>
      </w:r>
      <w:r w:rsidRPr="00C63FBD">
        <w:rPr>
          <w:rFonts w:asciiTheme="majorHAnsi" w:hAnsiTheme="majorHAnsi" w:cstheme="majorHAnsi"/>
          <w:lang w:val="sk-SK"/>
        </w:rPr>
        <w:t xml:space="preserve">registrovaných podnikoch </w:t>
      </w:r>
      <w:r w:rsidR="00590108" w:rsidRPr="00C63FBD">
        <w:rPr>
          <w:rFonts w:asciiTheme="majorHAnsi" w:hAnsiTheme="majorHAnsi" w:cstheme="majorHAnsi"/>
          <w:lang w:val="sk-SK"/>
        </w:rPr>
        <w:t>–</w:t>
      </w:r>
      <w:r w:rsidRPr="00C63FBD">
        <w:rPr>
          <w:rFonts w:asciiTheme="majorHAnsi" w:hAnsiTheme="majorHAnsi" w:cstheme="majorHAnsi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lang w:val="sk-SK"/>
        </w:rPr>
        <w:t xml:space="preserve">kaviarňach, reštauráciách a baroch zľavu až 50 % na akékoľvek objednané jedlá. Druhú polovicu z ceny v reštaurácii zaplatil štát (maximálna výška kompenzácie na hosťa bola 10 libier a podpora sa nevzťahovala na alkoholické nápoje). Náklady na </w:t>
      </w:r>
      <w:r w:rsidR="00BE0BB1" w:rsidRPr="00C63FBD">
        <w:rPr>
          <w:rFonts w:asciiTheme="majorHAnsi" w:hAnsiTheme="majorHAnsi" w:cstheme="majorHAnsi"/>
          <w:lang w:val="sk-SK"/>
        </w:rPr>
        <w:t>program</w:t>
      </w:r>
      <w:r w:rsidR="00413542" w:rsidRPr="00C63FBD">
        <w:rPr>
          <w:rFonts w:asciiTheme="majorHAnsi" w:hAnsiTheme="majorHAnsi" w:cstheme="majorHAnsi"/>
          <w:lang w:val="sk-SK"/>
        </w:rPr>
        <w:t xml:space="preserve"> boli približne 522 miliónov libier.</w:t>
      </w:r>
    </w:p>
    <w:p w14:paraId="211B2C86" w14:textId="77777777" w:rsidR="00BE0BB1" w:rsidRPr="00C63FBD" w:rsidRDefault="00BE0BB1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1345C64D" w14:textId="531E691E" w:rsidR="00413542" w:rsidRPr="00C63FBD" w:rsidRDefault="00413542" w:rsidP="006919E1">
      <w:pPr>
        <w:numPr>
          <w:ilvl w:val="0"/>
          <w:numId w:val="5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b/>
          <w:lang w:val="sk-SK"/>
        </w:rPr>
        <w:t>Francúzsko</w:t>
      </w:r>
      <w:r w:rsidRPr="00C63FBD">
        <w:rPr>
          <w:rFonts w:asciiTheme="majorHAnsi" w:hAnsiTheme="majorHAnsi" w:cstheme="majorHAnsi"/>
          <w:lang w:val="sk-SK"/>
        </w:rPr>
        <w:t xml:space="preserve"> počas prvej vlny koronakrízy zvýšilo strop stravnej jednotky z 19 </w:t>
      </w:r>
      <w:r w:rsidR="008A2A72" w:rsidRPr="00C63FBD">
        <w:rPr>
          <w:rFonts w:asciiTheme="majorHAnsi" w:hAnsiTheme="majorHAnsi" w:cstheme="majorHAnsi"/>
          <w:lang w:val="sk-SK"/>
        </w:rPr>
        <w:t xml:space="preserve">EUR </w:t>
      </w:r>
      <w:r w:rsidRPr="00C63FBD">
        <w:rPr>
          <w:rFonts w:asciiTheme="majorHAnsi" w:hAnsiTheme="majorHAnsi" w:cstheme="majorHAnsi"/>
          <w:lang w:val="sk-SK"/>
        </w:rPr>
        <w:t xml:space="preserve">na 40 </w:t>
      </w:r>
      <w:r w:rsidR="008A2A72" w:rsidRPr="00C63FBD">
        <w:rPr>
          <w:rFonts w:asciiTheme="majorHAnsi" w:hAnsiTheme="majorHAnsi" w:cstheme="majorHAnsi"/>
          <w:lang w:val="sk-SK"/>
        </w:rPr>
        <w:t xml:space="preserve">EUR </w:t>
      </w:r>
      <w:r w:rsidRPr="00C63FBD">
        <w:rPr>
          <w:rFonts w:asciiTheme="majorHAnsi" w:hAnsiTheme="majorHAnsi" w:cstheme="majorHAnsi"/>
          <w:lang w:val="sk-SK"/>
        </w:rPr>
        <w:t>do konca rok</w:t>
      </w:r>
      <w:r w:rsidR="00BE0BB1" w:rsidRPr="00C63FBD">
        <w:rPr>
          <w:rFonts w:asciiTheme="majorHAnsi" w:hAnsiTheme="majorHAnsi" w:cstheme="majorHAnsi"/>
          <w:lang w:val="sk-SK"/>
        </w:rPr>
        <w:t>a</w:t>
      </w:r>
      <w:r w:rsidRPr="00C63FBD">
        <w:rPr>
          <w:rFonts w:asciiTheme="majorHAnsi" w:hAnsiTheme="majorHAnsi" w:cstheme="majorHAnsi"/>
          <w:lang w:val="sk-SK"/>
        </w:rPr>
        <w:t xml:space="preserve"> 2020, pričom stravné poukážky sa v tejto hodnote môžu používať len v</w:t>
      </w:r>
      <w:r w:rsidR="00015264" w:rsidRPr="00C63FBD">
        <w:rPr>
          <w:rFonts w:asciiTheme="majorHAnsi" w:hAnsiTheme="majorHAnsi" w:cstheme="majorHAnsi"/>
          <w:lang w:val="sk-SK"/>
        </w:rPr>
        <w:t> </w:t>
      </w:r>
      <w:r w:rsidRPr="00C63FBD">
        <w:rPr>
          <w:rFonts w:asciiTheme="majorHAnsi" w:hAnsiTheme="majorHAnsi" w:cstheme="majorHAnsi"/>
          <w:lang w:val="sk-SK"/>
        </w:rPr>
        <w:t>reštauráciách</w:t>
      </w:r>
      <w:r w:rsidR="00015264" w:rsidRPr="00C63FBD">
        <w:rPr>
          <w:rFonts w:asciiTheme="majorHAnsi" w:hAnsiTheme="majorHAnsi" w:cstheme="majorHAnsi"/>
          <w:lang w:val="sk-SK"/>
        </w:rPr>
        <w:t>,</w:t>
      </w:r>
      <w:r w:rsidRPr="00C63FBD">
        <w:rPr>
          <w:rFonts w:asciiTheme="majorHAnsi" w:hAnsiTheme="majorHAnsi" w:cstheme="majorHAnsi"/>
          <w:lang w:val="sk-SK"/>
        </w:rPr>
        <w:t xml:space="preserve"> </w:t>
      </w:r>
      <w:r w:rsidR="00590108" w:rsidRPr="00C63FBD">
        <w:rPr>
          <w:rFonts w:asciiTheme="majorHAnsi" w:hAnsiTheme="majorHAnsi" w:cstheme="majorHAnsi"/>
          <w:lang w:val="sk-SK"/>
        </w:rPr>
        <w:t>a </w:t>
      </w:r>
      <w:r w:rsidRPr="00C63FBD">
        <w:rPr>
          <w:rFonts w:asciiTheme="majorHAnsi" w:hAnsiTheme="majorHAnsi" w:cstheme="majorHAnsi"/>
          <w:lang w:val="sk-SK"/>
        </w:rPr>
        <w:t>nie na nákup potravín.</w:t>
      </w:r>
    </w:p>
    <w:p w14:paraId="5B108B7B" w14:textId="77777777" w:rsidR="00BE0BB1" w:rsidRPr="00C63FBD" w:rsidRDefault="00BE0BB1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76D5235A" w14:textId="50B397E3" w:rsidR="00413542" w:rsidRPr="00C63FBD" w:rsidRDefault="00413542" w:rsidP="006919E1">
      <w:pPr>
        <w:numPr>
          <w:ilvl w:val="0"/>
          <w:numId w:val="5"/>
        </w:num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b/>
          <w:lang w:val="sk-SK"/>
        </w:rPr>
        <w:t>New South Wales v Austrálii</w:t>
      </w:r>
      <w:r w:rsidRPr="00C63FBD">
        <w:rPr>
          <w:rFonts w:asciiTheme="majorHAnsi" w:hAnsiTheme="majorHAnsi" w:cstheme="majorHAnsi"/>
          <w:lang w:val="sk-SK"/>
        </w:rPr>
        <w:t xml:space="preserve"> daruje každému dospelému človeku 100 dolárov, ktoré môže minúť na stravovanie a zábavu, v snahe resuscitovať niektoré zo sektorov najviac postihnutých COVID-19. Out and About voucher schéma bude stáť</w:t>
      </w:r>
      <w:r w:rsidR="00BE0BB1" w:rsidRPr="00C63FBD">
        <w:rPr>
          <w:rFonts w:asciiTheme="majorHAnsi" w:hAnsiTheme="majorHAnsi" w:cstheme="majorHAnsi"/>
          <w:lang w:val="sk-SK"/>
        </w:rPr>
        <w:t xml:space="preserve"> austrálsku</w:t>
      </w:r>
      <w:r w:rsidRPr="00C63FBD">
        <w:rPr>
          <w:rFonts w:asciiTheme="majorHAnsi" w:hAnsiTheme="majorHAnsi" w:cstheme="majorHAnsi"/>
          <w:lang w:val="sk-SK"/>
        </w:rPr>
        <w:t xml:space="preserve"> vládu 500 miliónov dolárov a jej cieľom je udržať tok ekonomiky po Vianociach. Ktokoľvek vo veku nad 18 rokov získa prostredníctvom mobilnej aplikácie Service NSW štyri poukážky v hodnote 25 dolárov. Dv</w:t>
      </w:r>
      <w:r w:rsidR="00590108" w:rsidRPr="00C63FBD">
        <w:rPr>
          <w:rFonts w:asciiTheme="majorHAnsi" w:hAnsiTheme="majorHAnsi" w:cstheme="majorHAnsi"/>
          <w:lang w:val="sk-SK"/>
        </w:rPr>
        <w:t>e</w:t>
      </w:r>
      <w:r w:rsidRPr="00C63FBD">
        <w:rPr>
          <w:rFonts w:asciiTheme="majorHAnsi" w:hAnsiTheme="majorHAnsi" w:cstheme="majorHAnsi"/>
          <w:lang w:val="sk-SK"/>
        </w:rPr>
        <w:t xml:space="preserve"> z nich môžu byť použité na jedlo v reštauráciách, kaviarňach a kluboch a ďalšie dv</w:t>
      </w:r>
      <w:r w:rsidR="00590108" w:rsidRPr="00C63FBD">
        <w:rPr>
          <w:rFonts w:asciiTheme="majorHAnsi" w:hAnsiTheme="majorHAnsi" w:cstheme="majorHAnsi"/>
          <w:lang w:val="sk-SK"/>
        </w:rPr>
        <w:t>e</w:t>
      </w:r>
      <w:r w:rsidRPr="00C63FBD">
        <w:rPr>
          <w:rFonts w:asciiTheme="majorHAnsi" w:hAnsiTheme="majorHAnsi" w:cstheme="majorHAnsi"/>
          <w:lang w:val="sk-SK"/>
        </w:rPr>
        <w:t xml:space="preserve"> na zábavné aktivity, ako sú kultúrne inštitúcie, divadlá, kiná a zábavné parky.</w:t>
      </w:r>
    </w:p>
    <w:p w14:paraId="4FE50E10" w14:textId="77777777" w:rsidR="00BE0BB1" w:rsidRPr="00C63FBD" w:rsidRDefault="00BE0BB1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696A0483" w14:textId="77777777" w:rsidR="00413542" w:rsidRPr="00C63FBD" w:rsidRDefault="00413542" w:rsidP="006919E1">
      <w:pPr>
        <w:pStyle w:val="Nadpis2"/>
        <w:spacing w:before="0" w:after="0" w:line="288" w:lineRule="auto"/>
        <w:rPr>
          <w:rFonts w:asciiTheme="majorHAnsi" w:hAnsiTheme="majorHAnsi" w:cstheme="majorHAnsi"/>
          <w:sz w:val="22"/>
          <w:szCs w:val="22"/>
          <w:lang w:val="sk-SK"/>
        </w:rPr>
      </w:pPr>
      <w:bookmarkStart w:id="13" w:name="_egk0htzd1sw3" w:colFirst="0" w:colLast="0"/>
      <w:bookmarkEnd w:id="13"/>
      <w:r w:rsidRPr="00C63FBD">
        <w:rPr>
          <w:rFonts w:asciiTheme="majorHAnsi" w:hAnsiTheme="majorHAnsi" w:cstheme="majorHAnsi"/>
          <w:sz w:val="22"/>
          <w:szCs w:val="22"/>
          <w:lang w:val="sk-SK"/>
        </w:rPr>
        <w:br w:type="page"/>
      </w:r>
    </w:p>
    <w:p w14:paraId="0AF58C72" w14:textId="3783DA85" w:rsidR="00E167D7" w:rsidRPr="00C63FBD" w:rsidRDefault="00E172C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</w:pPr>
      <w:bookmarkStart w:id="14" w:name="_d6hdrquykrve" w:colFirst="0" w:colLast="0"/>
      <w:bookmarkStart w:id="15" w:name="_Hlk58344161"/>
      <w:bookmarkEnd w:id="14"/>
      <w:r w:rsidRPr="00C63FBD">
        <w:rPr>
          <w:rFonts w:asciiTheme="majorHAnsi" w:hAnsiTheme="majorHAnsi" w:cstheme="majorHAnsi"/>
          <w:b/>
          <w:bCs/>
          <w:color w:val="404040" w:themeColor="text1" w:themeTint="BF"/>
          <w:sz w:val="32"/>
          <w:szCs w:val="32"/>
          <w:u w:val="single"/>
          <w:lang w:val="sk-SK"/>
        </w:rPr>
        <w:lastRenderedPageBreak/>
        <w:t>Jasné podmienky pre opätovné otvorenie prevádzok</w:t>
      </w:r>
    </w:p>
    <w:p w14:paraId="3BC63B7D" w14:textId="77777777" w:rsidR="00E167D7" w:rsidRPr="00C63FBD" w:rsidRDefault="00E167D7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</w:p>
    <w:p w14:paraId="6402C3EB" w14:textId="77777777" w:rsidR="00590108" w:rsidRPr="00C63FBD" w:rsidRDefault="0059010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  <w:t xml:space="preserve">Gastro sektor preto žiada o urýchlené zverejnenie jasného plánu s pevnými pravidlami, podľa ktorých sa budú uvoľňovať či sprísňovať preventívne opatrenia.  </w:t>
      </w:r>
    </w:p>
    <w:p w14:paraId="4BE69C93" w14:textId="77777777" w:rsidR="00590108" w:rsidRPr="00C63FBD" w:rsidRDefault="00590108" w:rsidP="006919E1">
      <w:pPr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</w:p>
    <w:p w14:paraId="51316B89" w14:textId="5B15EB59" w:rsidR="00413542" w:rsidRPr="00C63FBD" w:rsidRDefault="00590108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bCs/>
          <w:color w:val="404040" w:themeColor="text1" w:themeTint="BF"/>
          <w:lang w:val="sk-SK"/>
        </w:rPr>
        <w:t xml:space="preserve">Základným problémom pre gastro prevádzky je neistota ďalšieho vývoja pandemickej situácie a neprehľadnosť súvisiacich opatrení. Bez existujúceho vládneho plánu, aký dopad budú mať rôzne scenáre vývoja pandémie na jednotlivé sektory, nemajú podnikatelia žiadnu možnosť plánovať, ako prežiť najbližšie týždne alebo mesiace. </w:t>
      </w:r>
    </w:p>
    <w:p w14:paraId="0D8ACB4C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bookmarkEnd w:id="15"/>
    <w:p w14:paraId="002FF0E9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4A39C67A" w14:textId="17D48C6D" w:rsidR="00413542" w:rsidRPr="00C63FBD" w:rsidRDefault="00E74D6C" w:rsidP="006919E1">
      <w:pPr>
        <w:spacing w:after="0" w:line="288" w:lineRule="auto"/>
        <w:rPr>
          <w:rFonts w:asciiTheme="majorHAnsi" w:hAnsiTheme="majorHAnsi" w:cstheme="majorHAnsi"/>
          <w:b/>
          <w:bCs/>
          <w:lang w:val="sk-SK"/>
        </w:rPr>
      </w:pPr>
      <w:r w:rsidRPr="00C63FBD">
        <w:rPr>
          <w:rFonts w:asciiTheme="majorHAnsi" w:hAnsiTheme="majorHAnsi" w:cstheme="majorHAnsi"/>
          <w:b/>
          <w:bCs/>
          <w:lang w:val="sk-SK"/>
        </w:rPr>
        <w:t>Česká republika: p</w:t>
      </w:r>
      <w:r w:rsidR="00413542" w:rsidRPr="00C63FBD">
        <w:rPr>
          <w:rFonts w:asciiTheme="majorHAnsi" w:hAnsiTheme="majorHAnsi" w:cstheme="majorHAnsi"/>
          <w:b/>
          <w:bCs/>
          <w:lang w:val="sk-SK"/>
        </w:rPr>
        <w:t>re príklad uvádzame systém PES:</w:t>
      </w:r>
    </w:p>
    <w:p w14:paraId="25801A21" w14:textId="77777777" w:rsidR="00413542" w:rsidRPr="00C63FBD" w:rsidRDefault="008E2FDA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hyperlink r:id="rId15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https://onemocneni-aktualne.mzcr.cz/pes</w:t>
        </w:r>
      </w:hyperlink>
    </w:p>
    <w:p w14:paraId="3E7723C1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7BA36CB1" w14:textId="0D982B1D" w:rsidR="00413542" w:rsidRPr="00C63FBD" w:rsidRDefault="00E74D6C" w:rsidP="006919E1">
      <w:pPr>
        <w:spacing w:after="0" w:line="288" w:lineRule="auto"/>
        <w:rPr>
          <w:rFonts w:asciiTheme="majorHAnsi" w:hAnsiTheme="majorHAnsi" w:cstheme="majorHAnsi"/>
          <w:b/>
          <w:bCs/>
          <w:lang w:val="sk-SK"/>
        </w:rPr>
      </w:pPr>
      <w:r w:rsidRPr="00C63FBD">
        <w:rPr>
          <w:rFonts w:asciiTheme="majorHAnsi" w:hAnsiTheme="majorHAnsi" w:cstheme="majorHAnsi"/>
          <w:b/>
          <w:bCs/>
          <w:lang w:val="sk-SK"/>
        </w:rPr>
        <w:t xml:space="preserve">Írska republika: </w:t>
      </w:r>
      <w:r w:rsidR="00015264" w:rsidRPr="00C63FBD">
        <w:rPr>
          <w:rFonts w:asciiTheme="majorHAnsi" w:hAnsiTheme="majorHAnsi" w:cstheme="majorHAnsi"/>
          <w:b/>
          <w:bCs/>
          <w:lang w:val="sk-SK"/>
        </w:rPr>
        <w:t>p</w:t>
      </w:r>
      <w:r w:rsidR="00590108" w:rsidRPr="00C63FBD">
        <w:rPr>
          <w:rFonts w:asciiTheme="majorHAnsi" w:hAnsiTheme="majorHAnsi" w:cstheme="majorHAnsi"/>
          <w:b/>
          <w:bCs/>
          <w:lang w:val="sk-SK"/>
        </w:rPr>
        <w:t>andemický</w:t>
      </w:r>
      <w:r w:rsidR="00413542" w:rsidRPr="00C63FBD">
        <w:rPr>
          <w:rFonts w:asciiTheme="majorHAnsi" w:hAnsiTheme="majorHAnsi" w:cstheme="majorHAnsi"/>
          <w:b/>
          <w:bCs/>
          <w:lang w:val="sk-SK"/>
        </w:rPr>
        <w:t xml:space="preserve"> plán </w:t>
      </w:r>
      <w:r w:rsidR="00590108" w:rsidRPr="00C63FBD">
        <w:rPr>
          <w:rFonts w:asciiTheme="majorHAnsi" w:hAnsiTheme="majorHAnsi" w:cstheme="majorHAnsi"/>
          <w:b/>
          <w:bCs/>
          <w:lang w:val="sk-SK"/>
        </w:rPr>
        <w:t>je</w:t>
      </w:r>
      <w:r w:rsidR="00413542" w:rsidRPr="00C63FBD">
        <w:rPr>
          <w:rFonts w:asciiTheme="majorHAnsi" w:hAnsiTheme="majorHAnsi" w:cstheme="majorHAnsi"/>
          <w:b/>
          <w:bCs/>
          <w:lang w:val="sk-SK"/>
        </w:rPr>
        <w:t xml:space="preserve"> podrobne spracovan</w:t>
      </w:r>
      <w:r w:rsidR="00590108" w:rsidRPr="00C63FBD">
        <w:rPr>
          <w:rFonts w:asciiTheme="majorHAnsi" w:hAnsiTheme="majorHAnsi" w:cstheme="majorHAnsi"/>
          <w:b/>
          <w:bCs/>
          <w:lang w:val="sk-SK"/>
        </w:rPr>
        <w:t>ý</w:t>
      </w:r>
      <w:r w:rsidR="00413542" w:rsidRPr="00C63FBD">
        <w:rPr>
          <w:rFonts w:asciiTheme="majorHAnsi" w:hAnsiTheme="majorHAnsi" w:cstheme="majorHAnsi"/>
          <w:b/>
          <w:bCs/>
          <w:lang w:val="sk-SK"/>
        </w:rPr>
        <w:t xml:space="preserve"> v tomto dokumente:</w:t>
      </w:r>
    </w:p>
    <w:p w14:paraId="478DAA60" w14:textId="77777777" w:rsidR="00413542" w:rsidRPr="00C63FBD" w:rsidRDefault="008E2FDA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hyperlink r:id="rId16">
        <w:r w:rsidR="00413542"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>https://www.gov.ie/en/publication/e5175-resilience-and-recovery-2020-2021-plan-for-living-with-covid-19/</w:t>
        </w:r>
      </w:hyperlink>
      <w:r w:rsidR="00413542" w:rsidRPr="00C63FBD">
        <w:rPr>
          <w:rFonts w:asciiTheme="majorHAnsi" w:hAnsiTheme="majorHAnsi" w:cstheme="majorHAnsi"/>
          <w:lang w:val="sk-SK"/>
        </w:rPr>
        <w:t xml:space="preserve"> </w:t>
      </w:r>
      <w:r w:rsidR="00413542" w:rsidRPr="00C63FBD">
        <w:rPr>
          <w:rFonts w:asciiTheme="majorHAnsi" w:hAnsiTheme="majorHAnsi" w:cstheme="majorHAnsi"/>
          <w:lang w:val="sk-SK"/>
        </w:rPr>
        <w:br w:type="page"/>
      </w:r>
    </w:p>
    <w:p w14:paraId="02E6753F" w14:textId="6E22FE71" w:rsidR="00C05A6B" w:rsidRPr="00C63FBD" w:rsidRDefault="00E172C8" w:rsidP="006919E1">
      <w:pPr>
        <w:keepNext/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  <w:u w:val="single"/>
          <w:lang w:val="sk-SK"/>
        </w:rPr>
      </w:pPr>
      <w:bookmarkStart w:id="16" w:name="_lct17w35uwce" w:colFirst="0" w:colLast="0"/>
      <w:bookmarkStart w:id="17" w:name="_Hlk58344190"/>
      <w:bookmarkEnd w:id="16"/>
      <w:r w:rsidRPr="00C63FBD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8"/>
          <w:u w:val="single"/>
          <w:lang w:val="sk-SK"/>
        </w:rPr>
        <w:lastRenderedPageBreak/>
        <w:t>Dlhodobé zníženie DPH na stravovacie služby na 10 %</w:t>
      </w:r>
    </w:p>
    <w:p w14:paraId="1A6D45D4" w14:textId="77777777" w:rsidR="00C05A6B" w:rsidRPr="00C63FBD" w:rsidRDefault="00C05A6B" w:rsidP="006919E1">
      <w:pPr>
        <w:keepNext/>
        <w:spacing w:after="0" w:line="288" w:lineRule="auto"/>
        <w:rPr>
          <w:rFonts w:asciiTheme="majorHAnsi" w:hAnsiTheme="majorHAnsi" w:cstheme="majorHAnsi"/>
          <w:b/>
          <w:bCs/>
          <w:color w:val="404040" w:themeColor="text1" w:themeTint="BF"/>
          <w:lang w:val="sk-SK"/>
        </w:rPr>
      </w:pPr>
    </w:p>
    <w:p w14:paraId="4586A368" w14:textId="77777777" w:rsidR="00CC265C" w:rsidRPr="00C63FBD" w:rsidRDefault="00CC265C" w:rsidP="006919E1">
      <w:pPr>
        <w:keepNext/>
        <w:spacing w:after="0" w:line="288" w:lineRule="auto"/>
        <w:rPr>
          <w:rFonts w:asciiTheme="majorHAnsi" w:hAnsiTheme="majorHAnsi" w:cstheme="majorHAnsi"/>
          <w:bCs/>
          <w:color w:val="404040" w:themeColor="text1" w:themeTint="BF"/>
          <w:lang w:val="sk-SK"/>
        </w:rPr>
      </w:pPr>
    </w:p>
    <w:p w14:paraId="5E2C95DA" w14:textId="7E2A5B12" w:rsidR="00C05A6B" w:rsidRPr="00C63FBD" w:rsidRDefault="00CC265C" w:rsidP="006919E1">
      <w:pPr>
        <w:keepNext/>
        <w:spacing w:after="0" w:line="288" w:lineRule="auto"/>
        <w:rPr>
          <w:rFonts w:asciiTheme="majorHAnsi" w:hAnsiTheme="majorHAnsi" w:cstheme="majorHAnsi"/>
          <w:color w:val="404040" w:themeColor="text1" w:themeTint="BF"/>
          <w:lang w:val="sk-SK"/>
        </w:rPr>
      </w:pPr>
      <w:r w:rsidRPr="00C63FBD">
        <w:rPr>
          <w:rFonts w:asciiTheme="majorHAnsi" w:hAnsiTheme="majorHAnsi" w:cstheme="majorHAnsi"/>
          <w:bCs/>
          <w:color w:val="404040" w:themeColor="text1" w:themeTint="BF"/>
          <w:lang w:val="sk-SK"/>
        </w:rPr>
        <w:t xml:space="preserve">Zníženie DPH na stravovacie služby je </w:t>
      </w:r>
      <w:r w:rsidR="00C05A6B" w:rsidRPr="00C63FBD">
        <w:rPr>
          <w:rFonts w:asciiTheme="majorHAnsi" w:hAnsiTheme="majorHAnsi" w:cstheme="majorHAnsi"/>
          <w:color w:val="404040" w:themeColor="text1" w:themeTint="BF"/>
          <w:lang w:val="sk-SK"/>
        </w:rPr>
        <w:t>jedným z 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>opatrení, ktoré odporúča</w:t>
      </w:r>
      <w:r w:rsidR="00C05A6B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Európsk</w:t>
      </w:r>
      <w:r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a komisia </w:t>
      </w:r>
      <w:r w:rsidR="00C05A6B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pre členské štáty EÚ na elimináciu </w:t>
      </w:r>
      <w:r w:rsidR="00600993">
        <w:rPr>
          <w:rFonts w:asciiTheme="majorHAnsi" w:hAnsiTheme="majorHAnsi" w:cstheme="majorHAnsi"/>
          <w:color w:val="404040" w:themeColor="text1" w:themeTint="BF"/>
          <w:lang w:val="sk-SK"/>
        </w:rPr>
        <w:t>dopadov</w:t>
      </w:r>
      <w:r w:rsidR="00C05A6B" w:rsidRPr="00C63FBD">
        <w:rPr>
          <w:rFonts w:asciiTheme="majorHAnsi" w:hAnsiTheme="majorHAnsi" w:cstheme="majorHAnsi"/>
          <w:color w:val="404040" w:themeColor="text1" w:themeTint="BF"/>
          <w:lang w:val="sk-SK"/>
        </w:rPr>
        <w:t xml:space="preserve"> korony pre gastro sektor.</w:t>
      </w:r>
    </w:p>
    <w:p w14:paraId="69EF6C66" w14:textId="77777777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211E71ED" w14:textId="6473816A" w:rsidR="00413542" w:rsidRPr="00C63FBD" w:rsidRDefault="00413542" w:rsidP="006919E1">
      <w:pPr>
        <w:numPr>
          <w:ilvl w:val="0"/>
          <w:numId w:val="2"/>
        </w:num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b/>
          <w:lang w:val="sk-SK"/>
        </w:rPr>
        <w:t>Slovensko je jednou z mála krajín Európskej únie, ktoré stále uplatňujú základnú sadzbu DPH na stravovacie služby</w:t>
      </w:r>
      <w:r w:rsidRPr="00C63FBD">
        <w:rPr>
          <w:rFonts w:asciiTheme="majorHAnsi" w:hAnsiTheme="majorHAnsi" w:cstheme="majorHAnsi"/>
          <w:lang w:val="sk-SK"/>
        </w:rPr>
        <w:t>. S</w:t>
      </w:r>
      <w:r w:rsidR="00590108" w:rsidRPr="00C63FBD">
        <w:rPr>
          <w:rFonts w:asciiTheme="majorHAnsi" w:hAnsiTheme="majorHAnsi" w:cstheme="majorHAnsi"/>
          <w:lang w:val="sk-SK"/>
        </w:rPr>
        <w:t>o sadzbou 20 % má S</w:t>
      </w:r>
      <w:r w:rsidRPr="00C63FBD">
        <w:rPr>
          <w:rFonts w:asciiTheme="majorHAnsi" w:hAnsiTheme="majorHAnsi" w:cstheme="majorHAnsi"/>
          <w:lang w:val="sk-SK"/>
        </w:rPr>
        <w:t>lovensko štvrtú najvyššiu DPH na gastro v</w:t>
      </w:r>
      <w:r w:rsidR="00590108" w:rsidRPr="00C63FBD">
        <w:rPr>
          <w:rFonts w:asciiTheme="majorHAnsi" w:hAnsiTheme="majorHAnsi" w:cstheme="majorHAnsi"/>
          <w:lang w:val="sk-SK"/>
        </w:rPr>
        <w:t> </w:t>
      </w:r>
      <w:r w:rsidRPr="00C63FBD">
        <w:rPr>
          <w:rFonts w:asciiTheme="majorHAnsi" w:hAnsiTheme="majorHAnsi" w:cstheme="majorHAnsi"/>
          <w:lang w:val="sk-SK"/>
        </w:rPr>
        <w:t>EÚ</w:t>
      </w:r>
      <w:r w:rsidR="00590108" w:rsidRPr="00C63FBD">
        <w:rPr>
          <w:rFonts w:asciiTheme="majorHAnsi" w:hAnsiTheme="majorHAnsi" w:cstheme="majorHAnsi"/>
          <w:lang w:val="sk-SK"/>
        </w:rPr>
        <w:t xml:space="preserve">. </w:t>
      </w:r>
      <w:r w:rsidRPr="00C63FBD">
        <w:rPr>
          <w:rFonts w:asciiTheme="majorHAnsi" w:hAnsiTheme="majorHAnsi" w:cstheme="majorHAnsi"/>
          <w:lang w:val="sk-SK"/>
        </w:rPr>
        <w:t>Zníženú sadzbu DPH na reštauračné služby aplikuje 19 štátov Európskej únie (v rozpätí od 3 % v Luxembursku do 14 % vo Fínsku), vrátane všetkých našich susedov – Česk</w:t>
      </w:r>
      <w:r w:rsidR="00015264" w:rsidRPr="00C63FBD">
        <w:rPr>
          <w:rFonts w:asciiTheme="majorHAnsi" w:hAnsiTheme="majorHAnsi" w:cstheme="majorHAnsi"/>
          <w:lang w:val="sk-SK"/>
        </w:rPr>
        <w:t>a</w:t>
      </w:r>
      <w:r w:rsidRPr="00C63FBD">
        <w:rPr>
          <w:rFonts w:asciiTheme="majorHAnsi" w:hAnsiTheme="majorHAnsi" w:cstheme="majorHAnsi"/>
          <w:lang w:val="sk-SK"/>
        </w:rPr>
        <w:t>, Rakúsk</w:t>
      </w:r>
      <w:r w:rsidR="00015264" w:rsidRPr="00C63FBD">
        <w:rPr>
          <w:rFonts w:asciiTheme="majorHAnsi" w:hAnsiTheme="majorHAnsi" w:cstheme="majorHAnsi"/>
          <w:lang w:val="sk-SK"/>
        </w:rPr>
        <w:t>a</w:t>
      </w:r>
      <w:r w:rsidRPr="00C63FBD">
        <w:rPr>
          <w:rFonts w:asciiTheme="majorHAnsi" w:hAnsiTheme="majorHAnsi" w:cstheme="majorHAnsi"/>
          <w:lang w:val="sk-SK"/>
        </w:rPr>
        <w:t>, Maďarsk</w:t>
      </w:r>
      <w:r w:rsidR="00015264" w:rsidRPr="00C63FBD">
        <w:rPr>
          <w:rFonts w:asciiTheme="majorHAnsi" w:hAnsiTheme="majorHAnsi" w:cstheme="majorHAnsi"/>
          <w:lang w:val="sk-SK"/>
        </w:rPr>
        <w:t>a</w:t>
      </w:r>
      <w:r w:rsidRPr="00C63FBD">
        <w:rPr>
          <w:rFonts w:asciiTheme="majorHAnsi" w:hAnsiTheme="majorHAnsi" w:cstheme="majorHAnsi"/>
          <w:lang w:val="sk-SK"/>
        </w:rPr>
        <w:t xml:space="preserve"> a Poľsk</w:t>
      </w:r>
      <w:r w:rsidR="00015264" w:rsidRPr="00C63FBD">
        <w:rPr>
          <w:rFonts w:asciiTheme="majorHAnsi" w:hAnsiTheme="majorHAnsi" w:cstheme="majorHAnsi"/>
          <w:lang w:val="sk-SK"/>
        </w:rPr>
        <w:t>a</w:t>
      </w:r>
      <w:r w:rsidRPr="00C63FBD">
        <w:rPr>
          <w:rFonts w:asciiTheme="majorHAnsi" w:hAnsiTheme="majorHAnsi" w:cstheme="majorHAnsi"/>
          <w:lang w:val="sk-SK"/>
        </w:rPr>
        <w:t xml:space="preserve">. Niektoré krajiny do zníženej sadzby zahŕňajú aj alkoholické nápoje (Cyprus, Taliansko, Španielsko) a niektoré iba čapované pivo </w:t>
      </w:r>
      <w:r w:rsidR="00590108" w:rsidRPr="00C63FBD">
        <w:rPr>
          <w:rFonts w:asciiTheme="majorHAnsi" w:hAnsiTheme="majorHAnsi" w:cstheme="majorHAnsi"/>
          <w:lang w:val="sk-SK"/>
        </w:rPr>
        <w:t>–</w:t>
      </w:r>
      <w:r w:rsidRPr="00C63FBD">
        <w:rPr>
          <w:rFonts w:asciiTheme="majorHAnsi" w:hAnsiTheme="majorHAnsi" w:cstheme="majorHAnsi"/>
          <w:lang w:val="sk-SK"/>
        </w:rPr>
        <w:t xml:space="preserve"> Česká</w:t>
      </w:r>
      <w:r w:rsidR="00590108" w:rsidRPr="00C63FBD">
        <w:rPr>
          <w:rFonts w:asciiTheme="majorHAnsi" w:hAnsiTheme="majorHAnsi" w:cstheme="majorHAnsi"/>
          <w:lang w:val="sk-SK"/>
        </w:rPr>
        <w:t xml:space="preserve"> </w:t>
      </w:r>
      <w:r w:rsidRPr="00C63FBD">
        <w:rPr>
          <w:rFonts w:asciiTheme="majorHAnsi" w:hAnsiTheme="majorHAnsi" w:cstheme="majorHAnsi"/>
          <w:lang w:val="sk-SK"/>
        </w:rPr>
        <w:t>republika (z 21 % na 10 % od 1. 5. 2020) a Rumunsko (z 29 % na 5 %).</w:t>
      </w:r>
      <w:r w:rsidR="00590108" w:rsidRPr="00C63FBD">
        <w:rPr>
          <w:rFonts w:asciiTheme="majorHAnsi" w:hAnsiTheme="majorHAnsi" w:cstheme="majorHAnsi"/>
          <w:lang w:val="sk-SK"/>
        </w:rPr>
        <w:t xml:space="preserve"> </w:t>
      </w:r>
      <w:r w:rsidRPr="00C63FBD">
        <w:rPr>
          <w:rFonts w:asciiTheme="majorHAnsi" w:hAnsiTheme="majorHAnsi" w:cstheme="majorHAnsi"/>
          <w:lang w:val="sk-SK"/>
        </w:rPr>
        <w:t>(Zdroj:</w:t>
      </w:r>
      <w:hyperlink r:id="rId17">
        <w:r w:rsidRPr="00C63FBD">
          <w:rPr>
            <w:rFonts w:asciiTheme="majorHAnsi" w:hAnsiTheme="majorHAnsi" w:cstheme="majorHAnsi"/>
            <w:color w:val="1155CC"/>
            <w:u w:val="single"/>
            <w:lang w:val="sk-SK"/>
          </w:rPr>
          <w:t xml:space="preserve"> https://ec.europa.eu/taxation_customs/sites/taxation/files/resources/documents/taxation/vat/how_vat_works/rates/vat_rates_en.pdf</w:t>
        </w:r>
      </w:hyperlink>
      <w:r w:rsidRPr="00C63FBD">
        <w:rPr>
          <w:rFonts w:asciiTheme="majorHAnsi" w:hAnsiTheme="majorHAnsi" w:cstheme="majorHAnsi"/>
          <w:lang w:val="sk-SK"/>
        </w:rPr>
        <w:t>)</w:t>
      </w:r>
    </w:p>
    <w:bookmarkEnd w:id="17"/>
    <w:p w14:paraId="7A497EA6" w14:textId="77777777" w:rsidR="00C05A6B" w:rsidRPr="00C63FBD" w:rsidRDefault="00C05A6B" w:rsidP="006919E1">
      <w:p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</w:p>
    <w:p w14:paraId="28056804" w14:textId="131AA5CD" w:rsidR="00413542" w:rsidRPr="00C63FBD" w:rsidRDefault="00413542" w:rsidP="006919E1">
      <w:pPr>
        <w:numPr>
          <w:ilvl w:val="0"/>
          <w:numId w:val="2"/>
        </w:num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Práve Česká republika už v roku 2016 zaviedla zníženú sadzbu na stravovacie služby a nealkoholické nápoje (z 21 % na 15 %), aby podporila podnikateľov a znížila ich daňové zaťaženie v súvislosti so zavedením elektronickej evidencie tržieb a ďalších regulačných opatrení s priamym </w:t>
      </w:r>
      <w:r w:rsidR="00600993">
        <w:rPr>
          <w:rFonts w:asciiTheme="majorHAnsi" w:hAnsiTheme="majorHAnsi" w:cstheme="majorHAnsi"/>
          <w:lang w:val="sk-SK"/>
        </w:rPr>
        <w:t>dopadom</w:t>
      </w:r>
      <w:r w:rsidRPr="00C63FBD">
        <w:rPr>
          <w:rFonts w:asciiTheme="majorHAnsi" w:hAnsiTheme="majorHAnsi" w:cstheme="majorHAnsi"/>
          <w:lang w:val="sk-SK"/>
        </w:rPr>
        <w:t xml:space="preserve"> na pohostinstvá. Po prvom roku s nižšou DPH sa ukázalo, že aj napriek nižšej sadzbe DPH sa výber daní </w:t>
      </w:r>
      <w:r w:rsidR="00590108" w:rsidRPr="00C63FBD">
        <w:rPr>
          <w:rFonts w:asciiTheme="majorHAnsi" w:hAnsiTheme="majorHAnsi" w:cstheme="majorHAnsi"/>
          <w:lang w:val="sk-SK"/>
        </w:rPr>
        <w:t>v </w:t>
      </w:r>
      <w:r w:rsidRPr="00C63FBD">
        <w:rPr>
          <w:rFonts w:asciiTheme="majorHAnsi" w:hAnsiTheme="majorHAnsi" w:cstheme="majorHAnsi"/>
          <w:lang w:val="sk-SK"/>
        </w:rPr>
        <w:t>sektore pohostinstiev zvýšil. Preto následne česká vláda pristúpila k druhému zníženiu DPH pre stravovacie služby z 15 % na súčasných 10 %.</w:t>
      </w:r>
    </w:p>
    <w:p w14:paraId="5FB71125" w14:textId="77777777" w:rsidR="00C05A6B" w:rsidRPr="00C63FBD" w:rsidRDefault="00C05A6B" w:rsidP="006919E1">
      <w:p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</w:p>
    <w:p w14:paraId="72742FE6" w14:textId="0C54EEE6" w:rsidR="00413542" w:rsidRPr="00C63FBD" w:rsidRDefault="00413542" w:rsidP="006919E1">
      <w:pPr>
        <w:numPr>
          <w:ilvl w:val="0"/>
          <w:numId w:val="2"/>
        </w:num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b/>
          <w:lang w:val="sk-SK"/>
        </w:rPr>
        <w:t>Európska komisia (EK) v máji 2020 odporučila vládam členských krajín podniknúť konkrétne kroky na oživenie podnikania v oblasti turizmu a dopravy.</w:t>
      </w:r>
      <w:r w:rsidRPr="00C63FBD">
        <w:rPr>
          <w:rFonts w:asciiTheme="majorHAnsi" w:hAnsiTheme="majorHAnsi" w:cstheme="majorHAnsi"/>
          <w:lang w:val="sk-SK"/>
        </w:rPr>
        <w:t xml:space="preserve"> Stratégia EK odporúča vytvoriť program dlhodobej pomoci na obnovenie sektora služieb v reštauráciách, hoteloch, doprave a kultúre. Medzi navrhovanými opatreniami sú podpora zachovania zamestnanosti,  </w:t>
      </w:r>
      <w:r w:rsidRPr="00C63FBD">
        <w:rPr>
          <w:rFonts w:asciiTheme="majorHAnsi" w:hAnsiTheme="majorHAnsi" w:cstheme="majorHAnsi"/>
          <w:b/>
          <w:lang w:val="sk-SK"/>
        </w:rPr>
        <w:t>zníženie DPH na stravovacie služb</w:t>
      </w:r>
      <w:r w:rsidRPr="00C63FBD">
        <w:rPr>
          <w:rFonts w:asciiTheme="majorHAnsi" w:hAnsiTheme="majorHAnsi" w:cstheme="majorHAnsi"/>
          <w:lang w:val="sk-SK"/>
        </w:rPr>
        <w:t>y, vybrané druhy potravín a nápojov</w:t>
      </w:r>
      <w:r w:rsidR="00590108" w:rsidRPr="00C63FBD">
        <w:rPr>
          <w:rFonts w:asciiTheme="majorHAnsi" w:hAnsiTheme="majorHAnsi" w:cstheme="majorHAnsi"/>
          <w:lang w:val="sk-SK"/>
        </w:rPr>
        <w:t xml:space="preserve"> a</w:t>
      </w:r>
      <w:r w:rsidRPr="00C63FBD">
        <w:rPr>
          <w:rFonts w:asciiTheme="majorHAnsi" w:hAnsiTheme="majorHAnsi" w:cstheme="majorHAnsi"/>
          <w:lang w:val="sk-SK"/>
        </w:rPr>
        <w:t xml:space="preserve"> rôzne typy poukazov na naštartovanie spotreby.</w:t>
      </w:r>
    </w:p>
    <w:p w14:paraId="107E97D2" w14:textId="77777777" w:rsidR="00C05A6B" w:rsidRPr="00C63FBD" w:rsidRDefault="00C05A6B" w:rsidP="006919E1">
      <w:pPr>
        <w:spacing w:after="0" w:line="288" w:lineRule="auto"/>
        <w:ind w:left="-360"/>
        <w:rPr>
          <w:rFonts w:asciiTheme="majorHAnsi" w:hAnsiTheme="majorHAnsi" w:cstheme="majorHAnsi"/>
          <w:lang w:val="sk-SK"/>
        </w:rPr>
      </w:pPr>
    </w:p>
    <w:p w14:paraId="6E5E9193" w14:textId="0885C704" w:rsidR="00413542" w:rsidRPr="00C63FBD" w:rsidRDefault="00413542" w:rsidP="006919E1">
      <w:pPr>
        <w:numPr>
          <w:ilvl w:val="0"/>
          <w:numId w:val="2"/>
        </w:num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V kontexte diskusií o možných obmedzeniach uplatňovania nižšej DPH na alkoholické nápoje podávané v rámci stravovacích služieb zástupcovia </w:t>
      </w:r>
      <w:r w:rsidR="00590108" w:rsidRPr="00C63FBD">
        <w:rPr>
          <w:rFonts w:asciiTheme="majorHAnsi" w:hAnsiTheme="majorHAnsi" w:cstheme="majorHAnsi"/>
          <w:lang w:val="sk-SK"/>
        </w:rPr>
        <w:t>e</w:t>
      </w:r>
      <w:r w:rsidRPr="00C63FBD">
        <w:rPr>
          <w:rFonts w:asciiTheme="majorHAnsi" w:hAnsiTheme="majorHAnsi" w:cstheme="majorHAnsi"/>
          <w:lang w:val="sk-SK"/>
        </w:rPr>
        <w:t>urópskych pivovarníkov oslovili komisára pre ekonomiku P</w:t>
      </w:r>
      <w:r w:rsidR="00590108" w:rsidRPr="00C63FBD">
        <w:rPr>
          <w:rFonts w:asciiTheme="majorHAnsi" w:hAnsiTheme="majorHAnsi" w:cstheme="majorHAnsi"/>
          <w:lang w:val="sk-SK"/>
        </w:rPr>
        <w:t>. </w:t>
      </w:r>
      <w:r w:rsidRPr="00C63FBD">
        <w:rPr>
          <w:rFonts w:asciiTheme="majorHAnsi" w:hAnsiTheme="majorHAnsi" w:cstheme="majorHAnsi"/>
          <w:lang w:val="sk-SK"/>
        </w:rPr>
        <w:t>Gentiloniho. Následne dňa 8.</w:t>
      </w:r>
      <w:r w:rsidR="00015264" w:rsidRPr="00C63FBD">
        <w:rPr>
          <w:rFonts w:asciiTheme="majorHAnsi" w:hAnsiTheme="majorHAnsi" w:cstheme="majorHAnsi"/>
          <w:lang w:val="sk-SK"/>
        </w:rPr>
        <w:t xml:space="preserve"> </w:t>
      </w:r>
      <w:r w:rsidRPr="00C63FBD">
        <w:rPr>
          <w:rFonts w:asciiTheme="majorHAnsi" w:hAnsiTheme="majorHAnsi" w:cstheme="majorHAnsi"/>
          <w:lang w:val="sk-SK"/>
        </w:rPr>
        <w:t>7.</w:t>
      </w:r>
      <w:r w:rsidR="00015264" w:rsidRPr="00C63FBD">
        <w:rPr>
          <w:rFonts w:asciiTheme="majorHAnsi" w:hAnsiTheme="majorHAnsi" w:cstheme="majorHAnsi"/>
          <w:lang w:val="sk-SK"/>
        </w:rPr>
        <w:t xml:space="preserve"> </w:t>
      </w:r>
      <w:r w:rsidRPr="00C63FBD">
        <w:rPr>
          <w:rFonts w:asciiTheme="majorHAnsi" w:hAnsiTheme="majorHAnsi" w:cstheme="majorHAnsi"/>
          <w:lang w:val="sk-SK"/>
        </w:rPr>
        <w:t xml:space="preserve">2020 dostali od komisára kladné stanovisko, že rozhodnutie uplatniť takéto zníženie DPH aj na alkoholické nápoje je plne v </w:t>
      </w:r>
      <w:r w:rsidR="008A2A72" w:rsidRPr="00C63FBD">
        <w:rPr>
          <w:rFonts w:asciiTheme="majorHAnsi" w:hAnsiTheme="majorHAnsi" w:cstheme="majorHAnsi"/>
          <w:lang w:val="sk-SK"/>
        </w:rPr>
        <w:t xml:space="preserve">kompetencii </w:t>
      </w:r>
      <w:r w:rsidRPr="00C63FBD">
        <w:rPr>
          <w:rFonts w:asciiTheme="majorHAnsi" w:hAnsiTheme="majorHAnsi" w:cstheme="majorHAnsi"/>
          <w:lang w:val="sk-SK"/>
        </w:rPr>
        <w:t>národných vlád. Deväť krajín EÚ už v tomto roku zaviedlo rôzne formy dočasného alebo trvalého zníženia DPH na stravovacie služby, aby oslabenému gastro sektoru v svojej krajine pomohli.</w:t>
      </w:r>
    </w:p>
    <w:p w14:paraId="296C1902" w14:textId="77777777" w:rsidR="00C05A6B" w:rsidRPr="00C63FBD" w:rsidRDefault="00C05A6B" w:rsidP="006919E1">
      <w:pPr>
        <w:pStyle w:val="Odsekzoznamu"/>
        <w:spacing w:after="0" w:line="288" w:lineRule="auto"/>
        <w:ind w:left="360"/>
        <w:jc w:val="both"/>
        <w:rPr>
          <w:rFonts w:asciiTheme="majorHAnsi" w:hAnsiTheme="majorHAnsi" w:cstheme="majorHAnsi"/>
        </w:rPr>
      </w:pPr>
    </w:p>
    <w:p w14:paraId="5903B77E" w14:textId="7589D3CD" w:rsidR="00413542" w:rsidRPr="00C63FBD" w:rsidRDefault="00413542" w:rsidP="00591C91">
      <w:pPr>
        <w:numPr>
          <w:ilvl w:val="0"/>
          <w:numId w:val="2"/>
        </w:numPr>
        <w:spacing w:after="0" w:line="288" w:lineRule="auto"/>
        <w:ind w:left="360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>Prehľad aktuálnych znížených DPH v gastro sektore v krajinách EÚ</w:t>
      </w:r>
      <w:r w:rsidR="00CC265C" w:rsidRPr="00C63FBD">
        <w:rPr>
          <w:rFonts w:asciiTheme="majorHAnsi" w:hAnsiTheme="majorHAnsi" w:cstheme="majorHAnsi"/>
          <w:lang w:val="sk-SK"/>
        </w:rPr>
        <w:t>:</w:t>
      </w:r>
      <w:r w:rsidRPr="00C63FBD">
        <w:rPr>
          <w:rFonts w:asciiTheme="majorHAnsi" w:hAnsiTheme="majorHAnsi" w:cstheme="majorHAnsi"/>
          <w:lang w:val="sk-SK"/>
        </w:rPr>
        <w:br w:type="page"/>
      </w: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26"/>
        <w:gridCol w:w="1401"/>
        <w:gridCol w:w="1134"/>
        <w:gridCol w:w="968"/>
        <w:gridCol w:w="5411"/>
      </w:tblGrid>
      <w:tr w:rsidR="00413542" w:rsidRPr="00C63FBD" w14:paraId="296C6D43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33DF4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lastRenderedPageBreak/>
              <w:t>Krajina</w:t>
            </w:r>
          </w:p>
        </w:tc>
        <w:tc>
          <w:tcPr>
            <w:tcW w:w="1401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CAA0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Platí pre:</w:t>
            </w:r>
          </w:p>
        </w:tc>
        <w:tc>
          <w:tcPr>
            <w:tcW w:w="1134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3E06E" w14:textId="18AAEC1A" w:rsidR="00413542" w:rsidRPr="00C63FBD" w:rsidRDefault="008A2A72" w:rsidP="008A2A72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 xml:space="preserve">Dlhodobé </w:t>
            </w:r>
            <w:r w:rsidR="00413542"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zdanenie:</w:t>
            </w:r>
          </w:p>
        </w:tc>
        <w:tc>
          <w:tcPr>
            <w:tcW w:w="968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5A889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Znížená DPH</w:t>
            </w:r>
          </w:p>
        </w:tc>
        <w:tc>
          <w:tcPr>
            <w:tcW w:w="5411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F820A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Čas pôsobenia zníženého DPH</w:t>
            </w:r>
          </w:p>
        </w:tc>
      </w:tr>
      <w:tr w:rsidR="00413542" w:rsidRPr="00C63FBD" w14:paraId="45C5F04A" w14:textId="77777777" w:rsidTr="00F07C54">
        <w:trPr>
          <w:trHeight w:val="284"/>
          <w:tblHeader/>
        </w:trPr>
        <w:tc>
          <w:tcPr>
            <w:tcW w:w="1426" w:type="dxa"/>
            <w:vMerge w:val="restart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85C96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b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Rakúsko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4B7A4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Nápoje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5DD8E" w14:textId="758C975E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20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1554B" w14:textId="2D97D9E6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20DBE" w14:textId="70306135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júl 2020 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–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31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december 2020</w:t>
            </w:r>
          </w:p>
        </w:tc>
      </w:tr>
      <w:tr w:rsidR="00413542" w:rsidRPr="00C63FBD" w14:paraId="3DCA87FD" w14:textId="77777777" w:rsidTr="00F07C54">
        <w:trPr>
          <w:trHeight w:val="284"/>
          <w:tblHeader/>
        </w:trPr>
        <w:tc>
          <w:tcPr>
            <w:tcW w:w="1426" w:type="dxa"/>
            <w:vMerge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1E8C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0CEA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3D44C" w14:textId="6DF76869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%*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45155" w14:textId="476D7CC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0F09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27AAFA59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FC5D6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Belgicko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5684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E34D9" w14:textId="4E58C93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12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%*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E467F" w14:textId="3F2C248A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6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39F6E" w14:textId="0B0E1E33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8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jún 2020 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–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31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december 2020</w:t>
            </w:r>
          </w:p>
          <w:p w14:paraId="2F032B90" w14:textId="385C62B6" w:rsidR="00F07C54" w:rsidRPr="00C63FBD" w:rsidRDefault="00F07C54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1E28BEE9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2E34C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Bulharsko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6D8F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D5278" w14:textId="1B8288A5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20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192EC" w14:textId="79C0D27E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9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E2C99" w14:textId="0F308CE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Platí do januára 2022</w:t>
            </w:r>
            <w:r w:rsidR="00015264" w:rsidRPr="00C63FBD">
              <w:rPr>
                <w:rFonts w:asciiTheme="majorHAnsi" w:hAnsiTheme="majorHAnsi" w:cstheme="majorHAnsi"/>
                <w:lang w:val="sk-SK"/>
              </w:rPr>
              <w:t>.</w:t>
            </w:r>
          </w:p>
          <w:p w14:paraId="42219A49" w14:textId="5149BED0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9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% DPH </w:t>
            </w:r>
            <w:r w:rsidR="00015264" w:rsidRPr="00C63FBD">
              <w:rPr>
                <w:rFonts w:asciiTheme="majorHAnsi" w:hAnsiTheme="majorHAnsi" w:cstheme="majorHAnsi"/>
                <w:lang w:val="sk-SK"/>
              </w:rPr>
              <w:t>n</w:t>
            </w:r>
            <w:r w:rsidRPr="00C63FBD">
              <w:rPr>
                <w:rFonts w:asciiTheme="majorHAnsi" w:hAnsiTheme="majorHAnsi" w:cstheme="majorHAnsi"/>
                <w:lang w:val="sk-SK"/>
              </w:rPr>
              <w:t>a predaj jedál, nealkoholických nápojov, piva a vína HoReCa do januára 2022. Znížená sadzba DPH sa uplatňuje, ak sú klienti usadení a obsluhu vykonáva čašník. Pre donáškové služby zostáva sadzba DPH 20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%.</w:t>
            </w:r>
          </w:p>
        </w:tc>
      </w:tr>
      <w:tr w:rsidR="00413542" w:rsidRPr="00C63FBD" w14:paraId="3B65B27B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0A2B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Chorvátsko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E6D65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7704B" w14:textId="5026D0F9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BB45A" w14:textId="7C2BB9E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2C8FF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378B1FCE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CFC5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Cyprus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95F69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E15C3" w14:textId="7007DD2A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9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5B2C8" w14:textId="348867EE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86D6F" w14:textId="401DBEA0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júl 2020 – 10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>.</w:t>
            </w:r>
            <w:r w:rsidRPr="00C63FBD">
              <w:rPr>
                <w:rFonts w:asciiTheme="majorHAnsi" w:hAnsiTheme="majorHAnsi" w:cstheme="majorHAnsi"/>
                <w:lang w:val="sk-SK"/>
              </w:rPr>
              <w:t xml:space="preserve"> január 2021.</w:t>
            </w:r>
          </w:p>
        </w:tc>
      </w:tr>
      <w:tr w:rsidR="00413542" w:rsidRPr="00C63FBD" w14:paraId="593B1F7B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FEB9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Česká republika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CE95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FF24A" w14:textId="749E2FCA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%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*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ED241" w14:textId="739C3F1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4EB7F" w14:textId="196515C5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Trvalé zníženie DPH od 1.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5.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2020</w:t>
            </w:r>
          </w:p>
        </w:tc>
      </w:tr>
      <w:tr w:rsidR="00413542" w:rsidRPr="00C63FBD" w14:paraId="6EC7077D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3A24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Fínsko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63E09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6C5D8" w14:textId="5600EB59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14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0E2EF" w14:textId="7C51ABCA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EC124" w14:textId="637774A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Od 1. 7. 2020 do 31. 12. 2020 sa sadzba DPH znižuje na 5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 v prípade reštaurácií, kaviarní a cateringu s výnimkou všetkých druhov nápojov (nealkoholických a alkoholických). Nápoje majú svoju vlastnú zníženú sadzbu 16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%.</w:t>
            </w:r>
          </w:p>
          <w:p w14:paraId="06546583" w14:textId="1254CFB1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Od 01. 01. 2021 do 30. 06. 2021 sa sadzba DPH zníži na 7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 pre reštaurácie, kaviarne a</w:t>
            </w:r>
            <w:r w:rsidR="003E25CF" w:rsidRPr="00C63FBD">
              <w:rPr>
                <w:rFonts w:asciiTheme="majorHAnsi" w:hAnsiTheme="majorHAnsi" w:cstheme="majorHAnsi"/>
                <w:lang w:val="sk-SK"/>
              </w:rPr>
              <w:t> </w:t>
            </w:r>
            <w:r w:rsidRPr="00C63FBD">
              <w:rPr>
                <w:rFonts w:asciiTheme="majorHAnsi" w:hAnsiTheme="majorHAnsi" w:cstheme="majorHAnsi"/>
                <w:lang w:val="sk-SK"/>
              </w:rPr>
              <w:t>catering</w:t>
            </w:r>
            <w:r w:rsidR="003E25CF" w:rsidRPr="00C63FBD">
              <w:rPr>
                <w:rFonts w:asciiTheme="majorHAnsi" w:hAnsiTheme="majorHAnsi" w:cstheme="majorHAnsi"/>
                <w:lang w:val="sk-SK"/>
              </w:rPr>
              <w:t>.</w:t>
            </w:r>
          </w:p>
        </w:tc>
      </w:tr>
      <w:tr w:rsidR="00413542" w:rsidRPr="00C63FBD" w14:paraId="7738C3FC" w14:textId="77777777" w:rsidTr="00F07C54">
        <w:trPr>
          <w:trHeight w:val="284"/>
          <w:tblHeader/>
        </w:trPr>
        <w:tc>
          <w:tcPr>
            <w:tcW w:w="1426" w:type="dxa"/>
            <w:vMerge w:val="restart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7296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b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Grécko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BB938" w14:textId="2821EBB6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 xml:space="preserve">Nealko </w:t>
            </w:r>
            <w:r w:rsidR="00F07C54" w:rsidRPr="00C63FBD">
              <w:rPr>
                <w:rFonts w:asciiTheme="majorHAnsi" w:hAnsiTheme="majorHAnsi" w:cstheme="majorHAnsi"/>
                <w:lang w:val="sk-SK"/>
              </w:rPr>
              <w:t>n</w:t>
            </w:r>
            <w:r w:rsidRPr="00C63FBD">
              <w:rPr>
                <w:rFonts w:asciiTheme="majorHAnsi" w:hAnsiTheme="majorHAnsi" w:cstheme="majorHAnsi"/>
                <w:lang w:val="sk-SK"/>
              </w:rPr>
              <w:t>ápoje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D75A9" w14:textId="6F064493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24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77F7A" w14:textId="5E81A713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2562A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júl 2020 – 31. október 2020</w:t>
            </w:r>
          </w:p>
          <w:p w14:paraId="5929C20A" w14:textId="2EF35E7E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Plán je znížiť DPH na 5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</w:t>
            </w:r>
          </w:p>
          <w:p w14:paraId="0E308A5D" w14:textId="692F5DAE" w:rsidR="00F07C54" w:rsidRPr="00C63FBD" w:rsidRDefault="00F07C54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2AB3D089" w14:textId="77777777" w:rsidTr="00F07C54">
        <w:trPr>
          <w:trHeight w:val="284"/>
          <w:tblHeader/>
        </w:trPr>
        <w:tc>
          <w:tcPr>
            <w:tcW w:w="1426" w:type="dxa"/>
            <w:vMerge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8F36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9DD6B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FFA56" w14:textId="5638E7EE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36C03" w14:textId="602671B2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801F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júl 2020 – 9 .január 2021</w:t>
            </w:r>
          </w:p>
          <w:p w14:paraId="38D3A6D3" w14:textId="7C482B74" w:rsidR="00F07C54" w:rsidRPr="00C63FBD" w:rsidRDefault="00F07C54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5CFA5F3F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3D01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Írsko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3D92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E873B" w14:textId="3DE4AA82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6C903" w14:textId="086E05D6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9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A451E" w14:textId="32B8135F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S účinnosťou od 1. novembra do decembra 2021 bude pre sektor pohostinstva znížená sadzba DPH z 13,5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 na 9</w:t>
            </w:r>
            <w:r w:rsidR="008A2A72" w:rsidRPr="00C63FBD">
              <w:rPr>
                <w:rFonts w:asciiTheme="majorHAnsi" w:hAnsiTheme="majorHAnsi" w:cstheme="majorHAnsi"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lang w:val="sk-SK"/>
              </w:rPr>
              <w:t>%.</w:t>
            </w:r>
          </w:p>
        </w:tc>
      </w:tr>
      <w:tr w:rsidR="00413542" w:rsidRPr="00C63FBD" w14:paraId="720BB605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4DB71" w14:textId="1D9BC1FA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Luxembur</w:t>
            </w:r>
            <w:r w:rsidR="003E25CF"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33292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817E7" w14:textId="5ACBE85F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9E556" w14:textId="5B9E5B94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3</w:t>
            </w:r>
            <w:r w:rsidR="008A2A72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00E2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68DF8DE3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2E57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Maďarsko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8CAD5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A42B8" w14:textId="7139CD88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E51B4" w14:textId="518ED1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13D75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685B88F6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33C3E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Malta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AFD41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25B36" w14:textId="6F06B432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7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21416" w14:textId="6F3BC691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7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9785E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3DBFA1F6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224E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Moldavsko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E7C19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B9E2D" w14:textId="633D91CC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00F0C" w14:textId="4C0F3951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1449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máj 2020 – 31. december 2020</w:t>
            </w:r>
          </w:p>
          <w:p w14:paraId="0A1E0C04" w14:textId="3205CDB4" w:rsidR="00F07C54" w:rsidRPr="00C63FBD" w:rsidRDefault="00F07C54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103162E3" w14:textId="77777777" w:rsidTr="00F07C54">
        <w:trPr>
          <w:trHeight w:val="444"/>
          <w:tblHeader/>
        </w:trPr>
        <w:tc>
          <w:tcPr>
            <w:tcW w:w="1426" w:type="dxa"/>
            <w:vMerge w:val="restart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5302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b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lastRenderedPageBreak/>
              <w:t>Nemecko</w:t>
            </w:r>
          </w:p>
        </w:tc>
        <w:tc>
          <w:tcPr>
            <w:tcW w:w="1401" w:type="dxa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56DE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65563" w14:textId="7F16BC14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b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19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6BDC3" w14:textId="263A3B6F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b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vMerge w:val="restart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AB2F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júl 2020 – 31. december 2020</w:t>
            </w:r>
          </w:p>
        </w:tc>
      </w:tr>
      <w:tr w:rsidR="00413542" w:rsidRPr="00C63FBD" w14:paraId="37D1E99A" w14:textId="77777777" w:rsidTr="00F07C54">
        <w:trPr>
          <w:trHeight w:val="444"/>
          <w:tblHeader/>
        </w:trPr>
        <w:tc>
          <w:tcPr>
            <w:tcW w:w="1426" w:type="dxa"/>
            <w:vMerge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632C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7E7B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F2F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2BF2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5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AA51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2C1C770C" w14:textId="77777777" w:rsidTr="00F07C54">
        <w:trPr>
          <w:trHeight w:val="444"/>
          <w:tblHeader/>
        </w:trPr>
        <w:tc>
          <w:tcPr>
            <w:tcW w:w="1426" w:type="dxa"/>
            <w:vMerge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7C4F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A17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1A7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24C6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5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80F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73080004" w14:textId="77777777" w:rsidTr="00F07C54">
        <w:trPr>
          <w:trHeight w:val="284"/>
          <w:tblHeader/>
        </w:trPr>
        <w:tc>
          <w:tcPr>
            <w:tcW w:w="1426" w:type="dxa"/>
            <w:vMerge/>
            <w:shd w:val="clear" w:color="auto" w:fill="0066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FBD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7156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5A465" w14:textId="2306E805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19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07A5B" w14:textId="5AFFC15C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7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2A95B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január 2021 – 30. jún 2021</w:t>
            </w:r>
          </w:p>
        </w:tc>
      </w:tr>
      <w:tr w:rsidR="00413542" w:rsidRPr="00C63FBD" w14:paraId="3A36B5CD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5923E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Nórsko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80082" w14:textId="2EE40BC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Hotel</w:t>
            </w:r>
            <w:r w:rsidR="003E25CF" w:rsidRPr="00C63FBD">
              <w:rPr>
                <w:rFonts w:asciiTheme="majorHAnsi" w:hAnsiTheme="majorHAnsi" w:cstheme="majorHAnsi"/>
                <w:lang w:val="sk-SK"/>
              </w:rPr>
              <w:t>y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8469A" w14:textId="20A9D372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12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%*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977CE" w14:textId="2E217AE8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6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60F5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1. apríl 2020 – 31. október 2020</w:t>
            </w:r>
          </w:p>
        </w:tc>
      </w:tr>
      <w:tr w:rsidR="00413542" w:rsidRPr="00C63FBD" w14:paraId="44E7CE39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93A5C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Poľsko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0C0CE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14919" w14:textId="5574DC7D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8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E08A5" w14:textId="7F3B88D0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8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E5D2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1997C744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DF37A1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Portugalsko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5C394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CBF10" w14:textId="29FC98DD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A886D" w14:textId="5A810F28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13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09F9A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1D97844F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439E4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Rumunsko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DD6E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9B46E" w14:textId="242F4634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BC471" w14:textId="44A4F61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BECC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54C2508C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B817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Španielsko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2D055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F0A65" w14:textId="07825303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EA367" w14:textId="2DB74E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F70AC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2473508F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8F170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Švédsko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322B7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795D4" w14:textId="6C4A03C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12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BCD92" w14:textId="6E807768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12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A0EB8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37403DE5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63BC3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Taliansko</w:t>
            </w:r>
          </w:p>
        </w:tc>
        <w:tc>
          <w:tcPr>
            <w:tcW w:w="140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FA26B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Gastro</w:t>
            </w:r>
          </w:p>
        </w:tc>
        <w:tc>
          <w:tcPr>
            <w:tcW w:w="113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6E95F" w14:textId="5171C9F1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396CA" w14:textId="155CF174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10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C7C7A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</w:p>
        </w:tc>
      </w:tr>
      <w:tr w:rsidR="00413542" w:rsidRPr="00C63FBD" w14:paraId="1D51BD98" w14:textId="77777777" w:rsidTr="00F07C54">
        <w:trPr>
          <w:trHeight w:val="284"/>
          <w:tblHeader/>
        </w:trPr>
        <w:tc>
          <w:tcPr>
            <w:tcW w:w="1426" w:type="dxa"/>
            <w:shd w:val="clear" w:color="auto" w:fill="0066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3517C" w14:textId="0C1085D6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color w:val="FFFFFF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 xml:space="preserve">Spojené </w:t>
            </w:r>
            <w:r w:rsidR="00F07C54" w:rsidRPr="00C63FBD">
              <w:rPr>
                <w:rFonts w:asciiTheme="majorHAnsi" w:hAnsiTheme="majorHAnsi" w:cstheme="majorHAnsi"/>
                <w:b/>
                <w:color w:val="FFFFFF"/>
                <w:lang w:val="sk-SK"/>
              </w:rPr>
              <w:t>kráľovstvo</w:t>
            </w:r>
          </w:p>
        </w:tc>
        <w:tc>
          <w:tcPr>
            <w:tcW w:w="140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9CCFA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HoReCa</w:t>
            </w:r>
          </w:p>
        </w:tc>
        <w:tc>
          <w:tcPr>
            <w:tcW w:w="1134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95EE0" w14:textId="29A7ACE2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20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968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978DD" w14:textId="20A0275B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b/>
                <w:lang w:val="sk-SK"/>
              </w:rPr>
              <w:t>5</w:t>
            </w:r>
            <w:r w:rsidR="007563B5" w:rsidRPr="00C63FBD">
              <w:rPr>
                <w:rFonts w:asciiTheme="majorHAnsi" w:hAnsiTheme="majorHAnsi" w:cstheme="majorHAnsi"/>
                <w:b/>
                <w:lang w:val="sk-SK"/>
              </w:rPr>
              <w:t xml:space="preserve"> </w:t>
            </w:r>
            <w:r w:rsidRPr="00C63FBD">
              <w:rPr>
                <w:rFonts w:asciiTheme="majorHAnsi" w:hAnsiTheme="majorHAnsi" w:cstheme="majorHAnsi"/>
                <w:b/>
                <w:lang w:val="sk-SK"/>
              </w:rPr>
              <w:t>%</w:t>
            </w:r>
          </w:p>
        </w:tc>
        <w:tc>
          <w:tcPr>
            <w:tcW w:w="5411" w:type="dxa"/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E86AF" w14:textId="77777777" w:rsidR="00413542" w:rsidRPr="00C63FBD" w:rsidRDefault="00413542" w:rsidP="006919E1">
            <w:pPr>
              <w:widowControl w:val="0"/>
              <w:spacing w:after="0" w:line="288" w:lineRule="auto"/>
              <w:rPr>
                <w:rFonts w:asciiTheme="majorHAnsi" w:hAnsiTheme="majorHAnsi" w:cstheme="majorHAnsi"/>
                <w:lang w:val="sk-SK"/>
              </w:rPr>
            </w:pPr>
            <w:r w:rsidRPr="00C63FBD">
              <w:rPr>
                <w:rFonts w:asciiTheme="majorHAnsi" w:hAnsiTheme="majorHAnsi" w:cstheme="majorHAnsi"/>
                <w:lang w:val="sk-SK"/>
              </w:rPr>
              <w:t>15. júl 2020 – 12. január 2021</w:t>
            </w:r>
          </w:p>
        </w:tc>
      </w:tr>
    </w:tbl>
    <w:p w14:paraId="067B0B9D" w14:textId="77777777" w:rsidR="00F07C54" w:rsidRPr="00C63FBD" w:rsidRDefault="00F07C54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p w14:paraId="63E337C6" w14:textId="2DAE3269" w:rsidR="00413542" w:rsidRPr="00C63FBD" w:rsidRDefault="00413542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  <w:r w:rsidRPr="00C63FBD">
        <w:rPr>
          <w:rFonts w:asciiTheme="majorHAnsi" w:hAnsiTheme="majorHAnsi" w:cstheme="majorHAnsi"/>
          <w:lang w:val="sk-SK"/>
        </w:rPr>
        <w:t xml:space="preserve">(Zdroj: Brewers of Europe, </w:t>
      </w:r>
      <w:r w:rsidR="003E25CF" w:rsidRPr="00C63FBD">
        <w:rPr>
          <w:rFonts w:asciiTheme="majorHAnsi" w:hAnsiTheme="majorHAnsi" w:cstheme="majorHAnsi"/>
          <w:lang w:val="sk-SK"/>
        </w:rPr>
        <w:t>o</w:t>
      </w:r>
      <w:r w:rsidRPr="00C63FBD">
        <w:rPr>
          <w:rFonts w:asciiTheme="majorHAnsi" w:hAnsiTheme="majorHAnsi" w:cstheme="majorHAnsi"/>
          <w:lang w:val="sk-SK"/>
        </w:rPr>
        <w:t>któber 2020; HOTREC position paper - Temporary reduced VAT rates for hospitality, október 2020)</w:t>
      </w:r>
    </w:p>
    <w:p w14:paraId="18BB4D40" w14:textId="77777777" w:rsidR="00092077" w:rsidRPr="00C63FBD" w:rsidRDefault="008E2FDA" w:rsidP="006919E1">
      <w:pPr>
        <w:spacing w:after="0" w:line="288" w:lineRule="auto"/>
        <w:rPr>
          <w:rFonts w:asciiTheme="majorHAnsi" w:hAnsiTheme="majorHAnsi" w:cstheme="majorHAnsi"/>
          <w:lang w:val="sk-SK"/>
        </w:rPr>
      </w:pPr>
    </w:p>
    <w:sectPr w:rsidR="00092077" w:rsidRPr="00C63FB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7BA2" w14:textId="77777777" w:rsidR="008E2FDA" w:rsidRDefault="008E2FDA" w:rsidP="003871B5">
      <w:pPr>
        <w:spacing w:after="0" w:line="240" w:lineRule="auto"/>
      </w:pPr>
      <w:r>
        <w:separator/>
      </w:r>
    </w:p>
  </w:endnote>
  <w:endnote w:type="continuationSeparator" w:id="0">
    <w:p w14:paraId="52379245" w14:textId="77777777" w:rsidR="008E2FDA" w:rsidRDefault="008E2FDA" w:rsidP="003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5071567"/>
      <w:docPartObj>
        <w:docPartGallery w:val="Page Numbers (Bottom of Page)"/>
        <w:docPartUnique/>
      </w:docPartObj>
    </w:sdtPr>
    <w:sdtEndPr/>
    <w:sdtContent>
      <w:p w14:paraId="0A44C1A4" w14:textId="10052BEB" w:rsidR="00094E35" w:rsidRDefault="00094E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108" w:rsidRPr="00590108">
          <w:rPr>
            <w:noProof/>
            <w:lang w:val="sk-SK"/>
          </w:rPr>
          <w:t>6</w:t>
        </w:r>
        <w:r>
          <w:fldChar w:fldCharType="end"/>
        </w:r>
      </w:p>
    </w:sdtContent>
  </w:sdt>
  <w:p w14:paraId="05D121A6" w14:textId="77777777" w:rsidR="00094E35" w:rsidRDefault="00094E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B76F" w14:textId="77777777" w:rsidR="008E2FDA" w:rsidRDefault="008E2FDA" w:rsidP="003871B5">
      <w:pPr>
        <w:spacing w:after="0" w:line="240" w:lineRule="auto"/>
      </w:pPr>
      <w:r>
        <w:separator/>
      </w:r>
    </w:p>
  </w:footnote>
  <w:footnote w:type="continuationSeparator" w:id="0">
    <w:p w14:paraId="5F6EE37F" w14:textId="77777777" w:rsidR="008E2FDA" w:rsidRDefault="008E2FDA" w:rsidP="0038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C702" w14:textId="21138F44" w:rsidR="00BF65F1" w:rsidRDefault="00BF65F1">
    <w:pPr>
      <w:pStyle w:val="Hlavika"/>
    </w:pPr>
    <w:r w:rsidRPr="00C17FD1">
      <w:rPr>
        <w:noProof/>
        <w:color w:val="006600"/>
        <w:lang w:val="en-US" w:eastAsia="en-US"/>
      </w:rPr>
      <w:drawing>
        <wp:anchor distT="0" distB="0" distL="114300" distR="114300" simplePos="0" relativeHeight="251659264" behindDoc="0" locked="0" layoutInCell="1" allowOverlap="1" wp14:anchorId="7482F15D" wp14:editId="1326B2AF">
          <wp:simplePos x="0" y="0"/>
          <wp:positionH relativeFrom="page">
            <wp:posOffset>6496050</wp:posOffset>
          </wp:positionH>
          <wp:positionV relativeFrom="paragraph">
            <wp:posOffset>-210820</wp:posOffset>
          </wp:positionV>
          <wp:extent cx="1009650" cy="660400"/>
          <wp:effectExtent l="0" t="0" r="0" b="635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3F0E8A" w14:textId="77777777" w:rsidR="00BF65F1" w:rsidRDefault="00BF65F1">
    <w:pPr>
      <w:pStyle w:val="Hlavika"/>
    </w:pPr>
  </w:p>
  <w:p w14:paraId="257B9F6D" w14:textId="75F708A5" w:rsidR="003871B5" w:rsidRDefault="003871B5">
    <w:pPr>
      <w:pStyle w:val="Hlavika"/>
    </w:pPr>
  </w:p>
  <w:p w14:paraId="105A0845" w14:textId="77777777" w:rsidR="003871B5" w:rsidRDefault="003871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5370F"/>
    <w:multiLevelType w:val="multilevel"/>
    <w:tmpl w:val="FBE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5589"/>
    <w:multiLevelType w:val="multilevel"/>
    <w:tmpl w:val="3DA2D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53422F"/>
    <w:multiLevelType w:val="multilevel"/>
    <w:tmpl w:val="6E760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57A4D"/>
    <w:multiLevelType w:val="multilevel"/>
    <w:tmpl w:val="52064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B75B75"/>
    <w:multiLevelType w:val="multilevel"/>
    <w:tmpl w:val="DEBEC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6D22C5"/>
    <w:multiLevelType w:val="multilevel"/>
    <w:tmpl w:val="147C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53453"/>
    <w:multiLevelType w:val="multilevel"/>
    <w:tmpl w:val="35A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16CEC"/>
    <w:multiLevelType w:val="multilevel"/>
    <w:tmpl w:val="E830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A0F77"/>
    <w:multiLevelType w:val="multilevel"/>
    <w:tmpl w:val="1442A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4B5D05"/>
    <w:multiLevelType w:val="multilevel"/>
    <w:tmpl w:val="ACF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843D0"/>
    <w:multiLevelType w:val="hybridMultilevel"/>
    <w:tmpl w:val="40D81A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1D1B"/>
    <w:multiLevelType w:val="multilevel"/>
    <w:tmpl w:val="7D6CF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8D7EAF"/>
    <w:multiLevelType w:val="multilevel"/>
    <w:tmpl w:val="C0529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5B1CB7"/>
    <w:multiLevelType w:val="multilevel"/>
    <w:tmpl w:val="8DDEF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CE68EF"/>
    <w:multiLevelType w:val="multilevel"/>
    <w:tmpl w:val="E12C0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265E0B"/>
    <w:multiLevelType w:val="multilevel"/>
    <w:tmpl w:val="514AF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3D2490B"/>
    <w:multiLevelType w:val="multilevel"/>
    <w:tmpl w:val="EE480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1F32A1"/>
    <w:multiLevelType w:val="multilevel"/>
    <w:tmpl w:val="FC6EC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3F278E"/>
    <w:multiLevelType w:val="multilevel"/>
    <w:tmpl w:val="50763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6"/>
  </w:num>
  <w:num w:numId="5">
    <w:abstractNumId w:val="8"/>
  </w:num>
  <w:num w:numId="6">
    <w:abstractNumId w:val="18"/>
  </w:num>
  <w:num w:numId="7">
    <w:abstractNumId w:val="4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10"/>
  </w:num>
  <w:num w:numId="1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9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42"/>
    <w:rsid w:val="00015264"/>
    <w:rsid w:val="00021B64"/>
    <w:rsid w:val="000805AB"/>
    <w:rsid w:val="00086FB2"/>
    <w:rsid w:val="00094E35"/>
    <w:rsid w:val="00184491"/>
    <w:rsid w:val="001903F1"/>
    <w:rsid w:val="002C34D0"/>
    <w:rsid w:val="00300FBB"/>
    <w:rsid w:val="003163EB"/>
    <w:rsid w:val="003169B8"/>
    <w:rsid w:val="003339B6"/>
    <w:rsid w:val="00341A5D"/>
    <w:rsid w:val="00346E51"/>
    <w:rsid w:val="003871B5"/>
    <w:rsid w:val="003C5614"/>
    <w:rsid w:val="003E25CF"/>
    <w:rsid w:val="003E3061"/>
    <w:rsid w:val="00403067"/>
    <w:rsid w:val="00413542"/>
    <w:rsid w:val="004317D6"/>
    <w:rsid w:val="00440803"/>
    <w:rsid w:val="00450A43"/>
    <w:rsid w:val="00477C52"/>
    <w:rsid w:val="004B25DD"/>
    <w:rsid w:val="004E0B32"/>
    <w:rsid w:val="00502587"/>
    <w:rsid w:val="0050638C"/>
    <w:rsid w:val="0051035D"/>
    <w:rsid w:val="00536F29"/>
    <w:rsid w:val="00555252"/>
    <w:rsid w:val="0058479A"/>
    <w:rsid w:val="00587B5C"/>
    <w:rsid w:val="00590108"/>
    <w:rsid w:val="005B21B3"/>
    <w:rsid w:val="005C0C3B"/>
    <w:rsid w:val="00600993"/>
    <w:rsid w:val="00611430"/>
    <w:rsid w:val="00611FF1"/>
    <w:rsid w:val="00661238"/>
    <w:rsid w:val="006919E1"/>
    <w:rsid w:val="006B1167"/>
    <w:rsid w:val="006C1A1F"/>
    <w:rsid w:val="007563B5"/>
    <w:rsid w:val="00791995"/>
    <w:rsid w:val="007C0586"/>
    <w:rsid w:val="007D5575"/>
    <w:rsid w:val="007E6141"/>
    <w:rsid w:val="007E7627"/>
    <w:rsid w:val="00804304"/>
    <w:rsid w:val="008204E1"/>
    <w:rsid w:val="008241AA"/>
    <w:rsid w:val="00824842"/>
    <w:rsid w:val="00866582"/>
    <w:rsid w:val="00870B55"/>
    <w:rsid w:val="008A2A72"/>
    <w:rsid w:val="008B6607"/>
    <w:rsid w:val="008E2FDA"/>
    <w:rsid w:val="009140C2"/>
    <w:rsid w:val="0091797A"/>
    <w:rsid w:val="00970976"/>
    <w:rsid w:val="009940DA"/>
    <w:rsid w:val="00995903"/>
    <w:rsid w:val="009D5AD4"/>
    <w:rsid w:val="009F64A4"/>
    <w:rsid w:val="00A70EFC"/>
    <w:rsid w:val="00A710E3"/>
    <w:rsid w:val="00AB4AD1"/>
    <w:rsid w:val="00B02CCD"/>
    <w:rsid w:val="00B62F28"/>
    <w:rsid w:val="00BE0BB1"/>
    <w:rsid w:val="00BF65F1"/>
    <w:rsid w:val="00BF7DA2"/>
    <w:rsid w:val="00C05A6B"/>
    <w:rsid w:val="00C63FBD"/>
    <w:rsid w:val="00C906AD"/>
    <w:rsid w:val="00C94AE5"/>
    <w:rsid w:val="00CC265C"/>
    <w:rsid w:val="00CE229F"/>
    <w:rsid w:val="00D43497"/>
    <w:rsid w:val="00DA72B7"/>
    <w:rsid w:val="00DB33F6"/>
    <w:rsid w:val="00DB7DCF"/>
    <w:rsid w:val="00DC32D5"/>
    <w:rsid w:val="00DF5294"/>
    <w:rsid w:val="00DF76C4"/>
    <w:rsid w:val="00E167D7"/>
    <w:rsid w:val="00E172C8"/>
    <w:rsid w:val="00E74D6C"/>
    <w:rsid w:val="00E83A8F"/>
    <w:rsid w:val="00E83E95"/>
    <w:rsid w:val="00EC0262"/>
    <w:rsid w:val="00EC7CFE"/>
    <w:rsid w:val="00F07C54"/>
    <w:rsid w:val="00F1548F"/>
    <w:rsid w:val="00F35ABE"/>
    <w:rsid w:val="00F44759"/>
    <w:rsid w:val="00F64629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F5AC"/>
  <w15:docId w15:val="{CB8D2B34-962C-40BB-BF15-56AA2B6D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3542"/>
    <w:pPr>
      <w:spacing w:line="254" w:lineRule="auto"/>
      <w:jc w:val="both"/>
    </w:pPr>
    <w:rPr>
      <w:rFonts w:ascii="Source Sans Pro" w:eastAsia="Source Sans Pro" w:hAnsi="Source Sans Pro" w:cs="Source Sans Pro"/>
      <w:lang w:val="en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354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13542"/>
    <w:rPr>
      <w:rFonts w:ascii="Source Sans Pro" w:eastAsia="Source Sans Pro" w:hAnsi="Source Sans Pro" w:cs="Source Sans Pro"/>
      <w:sz w:val="32"/>
      <w:szCs w:val="32"/>
      <w:lang w:val="en"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413542"/>
    <w:pPr>
      <w:keepNext/>
      <w:keepLines/>
      <w:spacing w:after="60"/>
    </w:pPr>
    <w:rPr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13542"/>
    <w:rPr>
      <w:rFonts w:ascii="Source Sans Pro" w:eastAsia="Source Sans Pro" w:hAnsi="Source Sans Pro" w:cs="Source Sans Pro"/>
      <w:sz w:val="52"/>
      <w:szCs w:val="52"/>
      <w:lang w:val="en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542"/>
    <w:rPr>
      <w:rFonts w:ascii="Segoe UI" w:eastAsia="Source Sans Pro" w:hAnsi="Segoe UI" w:cs="Segoe UI"/>
      <w:sz w:val="18"/>
      <w:szCs w:val="18"/>
      <w:lang w:val="en" w:eastAsia="sk-SK"/>
    </w:rPr>
  </w:style>
  <w:style w:type="paragraph" w:styleId="Odsekzoznamu">
    <w:name w:val="List Paragraph"/>
    <w:basedOn w:val="Normlny"/>
    <w:uiPriority w:val="34"/>
    <w:qFormat/>
    <w:rsid w:val="0041354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C02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02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0262"/>
    <w:rPr>
      <w:rFonts w:ascii="Source Sans Pro" w:eastAsia="Source Sans Pro" w:hAnsi="Source Sans Pro" w:cs="Source Sans Pro"/>
      <w:sz w:val="20"/>
      <w:szCs w:val="20"/>
      <w:lang w:val="en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02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0262"/>
    <w:rPr>
      <w:rFonts w:ascii="Source Sans Pro" w:eastAsia="Source Sans Pro" w:hAnsi="Source Sans Pro" w:cs="Source Sans Pro"/>
      <w:b/>
      <w:bCs/>
      <w:sz w:val="20"/>
      <w:szCs w:val="20"/>
      <w:lang w:val="en" w:eastAsia="sk-SK"/>
    </w:rPr>
  </w:style>
  <w:style w:type="paragraph" w:styleId="Hlavika">
    <w:name w:val="header"/>
    <w:basedOn w:val="Normlny"/>
    <w:link w:val="HlavikaChar"/>
    <w:uiPriority w:val="99"/>
    <w:unhideWhenUsed/>
    <w:rsid w:val="0038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71B5"/>
    <w:rPr>
      <w:rFonts w:ascii="Source Sans Pro" w:eastAsia="Source Sans Pro" w:hAnsi="Source Sans Pro" w:cs="Source Sans Pro"/>
      <w:lang w:val="en" w:eastAsia="sk-SK"/>
    </w:rPr>
  </w:style>
  <w:style w:type="paragraph" w:styleId="Pta">
    <w:name w:val="footer"/>
    <w:basedOn w:val="Normlny"/>
    <w:link w:val="PtaChar"/>
    <w:uiPriority w:val="99"/>
    <w:unhideWhenUsed/>
    <w:rsid w:val="0038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71B5"/>
    <w:rPr>
      <w:rFonts w:ascii="Source Sans Pro" w:eastAsia="Source Sans Pro" w:hAnsi="Source Sans Pro" w:cs="Source Sans Pro"/>
      <w:lang w:val="en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mlrt.gv.at/tourismus/corona-tourismus/corona-ma%C3%9Fnahmenpaket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mlrt.gv.at/tourismus/tourismuspolitische-themen/wirtepaket.html" TargetMode="External"/><Relationship Id="rId17" Type="http://schemas.openxmlformats.org/officeDocument/2006/relationships/hyperlink" Target="https://ec.europa.eu/taxation_customs/sites/taxation/files/resources/documents/taxation/vat/how_vat_works/rates/vat_rates_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publication/e5175-resilience-and-recovery-2020-2021-plan-for-living-with-covid-1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mlrt.gv.at/tourismus/corona-tourismus/corona-ma%C3%9Fnahmenpake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onemocneni-aktualne.mzcr.cz/pes" TargetMode="External"/><Relationship Id="rId10" Type="http://schemas.openxmlformats.org/officeDocument/2006/relationships/hyperlink" Target="https://covid.gov.cz/situace/kompenzace/antivirus-plus-nucene-omezeni-provozu-karanteny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mlrt.gv.at/tourismus/corona-tourismus/massnahmen_bundesregier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A717C919E4CBBEBDE2530205728" ma:contentTypeVersion="13" ma:contentTypeDescription="Create a new document." ma:contentTypeScope="" ma:versionID="6e80298a3ad71ffd01ad88a93f477437">
  <xsd:schema xmlns:xsd="http://www.w3.org/2001/XMLSchema" xmlns:xs="http://www.w3.org/2001/XMLSchema" xmlns:p="http://schemas.microsoft.com/office/2006/metadata/properties" xmlns:ns3="a7d13ac3-fdc7-4b7d-a4a8-93262b480eaf" xmlns:ns4="d52b80d4-0ec0-4eb8-ab79-e2bcdb0328b1" targetNamespace="http://schemas.microsoft.com/office/2006/metadata/properties" ma:root="true" ma:fieldsID="b58632573e4e982c75f0d19b0be6dcb2" ns3:_="" ns4:_="">
    <xsd:import namespace="a7d13ac3-fdc7-4b7d-a4a8-93262b480eaf"/>
    <xsd:import namespace="d52b80d4-0ec0-4eb8-ab79-e2bcdb0328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3ac3-fdc7-4b7d-a4a8-93262b48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80d4-0ec0-4eb8-ab79-e2bcdb032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28EB4-2D48-41AE-9E37-9855335C66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337FE7-315F-4CE3-8E95-7A208DD03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13ac3-fdc7-4b7d-a4a8-93262b480eaf"/>
    <ds:schemaRef ds:uri="d52b80d4-0ec0-4eb8-ab79-e2bcdb032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5CD3E-A1C5-42D6-8544-89231FB11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Remias</dc:creator>
  <cp:lastModifiedBy>Katarina Remias</cp:lastModifiedBy>
  <cp:revision>11</cp:revision>
  <dcterms:created xsi:type="dcterms:W3CDTF">2020-12-12T08:04:00Z</dcterms:created>
  <dcterms:modified xsi:type="dcterms:W3CDTF">2020-12-13T16:22:00Z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0x0101003E624A717C919E4CBBEBDE2530205728</vt:lpwstr>
  </property>
</Properties>
</file>